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CB8D" w14:textId="799CAB36" w:rsidR="00BE789D" w:rsidRDefault="0002537A" w:rsidP="00C4719B">
      <w:pPr>
        <w:spacing w:before="0" w:line="240" w:lineRule="auto"/>
        <w:rPr>
          <w:sz w:val="20"/>
        </w:rPr>
      </w:pPr>
      <w:r>
        <w:rPr>
          <w:sz w:val="20"/>
        </w:rPr>
        <w:t>S</w:t>
      </w:r>
      <w:r w:rsidR="00001ED9">
        <w:rPr>
          <w:sz w:val="20"/>
        </w:rPr>
        <w:t>tupeň:</w:t>
      </w:r>
      <w:r w:rsidR="00001ED9">
        <w:rPr>
          <w:sz w:val="20"/>
        </w:rPr>
        <w:tab/>
      </w:r>
      <w:r w:rsidR="007E3312">
        <w:rPr>
          <w:sz w:val="20"/>
        </w:rPr>
        <w:t>D</w:t>
      </w:r>
      <w:r w:rsidR="00535E49">
        <w:rPr>
          <w:sz w:val="20"/>
        </w:rPr>
        <w:t>PS</w:t>
      </w:r>
      <w:r w:rsidR="00E717DA">
        <w:rPr>
          <w:sz w:val="20"/>
        </w:rPr>
        <w:t xml:space="preserve"> </w:t>
      </w:r>
    </w:p>
    <w:p w14:paraId="5BAEA8E7" w14:textId="20EB4A9D" w:rsidR="00B6216B" w:rsidRDefault="0002537A" w:rsidP="00C4719B">
      <w:pPr>
        <w:spacing w:before="0" w:line="240" w:lineRule="auto"/>
        <w:rPr>
          <w:sz w:val="20"/>
        </w:rPr>
      </w:pPr>
      <w:r>
        <w:rPr>
          <w:sz w:val="20"/>
        </w:rPr>
        <w:t>I</w:t>
      </w:r>
      <w:r w:rsidR="00704D9B">
        <w:rPr>
          <w:sz w:val="20"/>
        </w:rPr>
        <w:t>nvestor:</w:t>
      </w:r>
      <w:r w:rsidR="00704D9B">
        <w:rPr>
          <w:sz w:val="20"/>
        </w:rPr>
        <w:tab/>
      </w:r>
      <w:r w:rsidR="00E355E6">
        <w:rPr>
          <w:sz w:val="20"/>
        </w:rPr>
        <w:t xml:space="preserve">Úřad městské části Praha 4 </w:t>
      </w:r>
    </w:p>
    <w:p w14:paraId="56928719" w14:textId="248D06F3" w:rsidR="00B337D5" w:rsidRDefault="0002537A" w:rsidP="00C4719B">
      <w:pPr>
        <w:spacing w:before="0" w:line="240" w:lineRule="auto"/>
        <w:rPr>
          <w:sz w:val="20"/>
        </w:rPr>
      </w:pPr>
      <w:r>
        <w:rPr>
          <w:sz w:val="20"/>
        </w:rPr>
        <w:t>K</w:t>
      </w:r>
      <w:r w:rsidR="00B337D5">
        <w:rPr>
          <w:sz w:val="20"/>
        </w:rPr>
        <w:t>atastr:</w:t>
      </w:r>
      <w:r w:rsidR="00B337D5">
        <w:rPr>
          <w:sz w:val="20"/>
        </w:rPr>
        <w:tab/>
        <w:t>Praha</w:t>
      </w:r>
      <w:r w:rsidR="00052780">
        <w:rPr>
          <w:sz w:val="20"/>
        </w:rPr>
        <w:t xml:space="preserve"> </w:t>
      </w:r>
      <w:r w:rsidR="00E355E6">
        <w:rPr>
          <w:sz w:val="20"/>
        </w:rPr>
        <w:t>4</w:t>
      </w:r>
      <w:r w:rsidR="00FE02FE">
        <w:rPr>
          <w:sz w:val="20"/>
        </w:rPr>
        <w:t xml:space="preserve"> -</w:t>
      </w:r>
      <w:r w:rsidR="00E355E6">
        <w:rPr>
          <w:sz w:val="20"/>
        </w:rPr>
        <w:t xml:space="preserve"> Michle</w:t>
      </w:r>
    </w:p>
    <w:p w14:paraId="4E55BA79" w14:textId="77777777" w:rsidR="00B6216B" w:rsidRPr="00836F1D" w:rsidRDefault="00B6216B" w:rsidP="00C4719B">
      <w:pPr>
        <w:spacing w:before="0" w:line="240" w:lineRule="auto"/>
        <w:rPr>
          <w:sz w:val="20"/>
        </w:rPr>
      </w:pPr>
    </w:p>
    <w:p w14:paraId="49DF9F7B" w14:textId="77777777" w:rsidR="009201B7" w:rsidRDefault="009201B7"/>
    <w:p w14:paraId="22F5FE43" w14:textId="77777777" w:rsidR="00B6216B" w:rsidRDefault="00B6216B"/>
    <w:p w14:paraId="52281C3E" w14:textId="77777777" w:rsidR="009201B7" w:rsidRDefault="009201B7">
      <w:pPr>
        <w:pStyle w:val="Nadpis1"/>
      </w:pPr>
      <w:proofErr w:type="gramStart"/>
      <w:r>
        <w:t>TECHNICKÁ  ZPRÁVA</w:t>
      </w:r>
      <w:proofErr w:type="gramEnd"/>
    </w:p>
    <w:p w14:paraId="67D0506F" w14:textId="77777777" w:rsidR="009201B7" w:rsidRDefault="00A235B2" w:rsidP="001D0B7F">
      <w:pPr>
        <w:pStyle w:val="Nadpis2"/>
        <w:tabs>
          <w:tab w:val="clear" w:pos="7731"/>
          <w:tab w:val="num" w:pos="360"/>
        </w:tabs>
        <w:ind w:left="340"/>
      </w:pPr>
      <w:r>
        <w:tab/>
      </w:r>
      <w:r w:rsidR="008D76A4">
        <w:t>Rozsah projektu:</w:t>
      </w:r>
    </w:p>
    <w:p w14:paraId="282BD620" w14:textId="432BFADD" w:rsidR="00FE02FE" w:rsidRDefault="007E3312" w:rsidP="00FE02FE">
      <w:pPr>
        <w:pStyle w:val="Odrazky"/>
      </w:pPr>
      <w:r>
        <w:t>nových</w:t>
      </w:r>
      <w:r w:rsidR="00FE02FE">
        <w:t xml:space="preserve"> </w:t>
      </w:r>
      <w:r w:rsidR="00E355E6">
        <w:t>8</w:t>
      </w:r>
      <w:r w:rsidR="00FE02FE">
        <w:t xml:space="preserve"> stožárů</w:t>
      </w:r>
      <w:r>
        <w:t xml:space="preserve"> a kabelů </w:t>
      </w:r>
      <w:r w:rsidR="00FE02FE">
        <w:t>VO na</w:t>
      </w:r>
      <w:r>
        <w:t xml:space="preserve">pojených na stávající rozvody VO, které budou osvětlovat chodníky </w:t>
      </w:r>
      <w:r w:rsidR="005E22CD">
        <w:t>v</w:t>
      </w:r>
      <w:r w:rsidR="00E355E6">
        <w:t xml:space="preserve"> parku mezi </w:t>
      </w:r>
      <w:r w:rsidR="005E22CD">
        <w:t xml:space="preserve">ul. </w:t>
      </w:r>
      <w:r w:rsidR="00E355E6">
        <w:t>Na Rolích a ul. V Zápolí.</w:t>
      </w:r>
    </w:p>
    <w:p w14:paraId="5861B8C8" w14:textId="59287E72" w:rsidR="001D0B7F" w:rsidRDefault="001D0B7F" w:rsidP="007E3312">
      <w:pPr>
        <w:pStyle w:val="Odrazky"/>
        <w:numPr>
          <w:ilvl w:val="0"/>
          <w:numId w:val="0"/>
        </w:numPr>
      </w:pPr>
    </w:p>
    <w:p w14:paraId="37FAC59F" w14:textId="06CC8449" w:rsidR="00704D9B" w:rsidRDefault="00A235B2" w:rsidP="001D0B7F">
      <w:pPr>
        <w:pStyle w:val="Nadpis2"/>
        <w:tabs>
          <w:tab w:val="clear" w:pos="7731"/>
          <w:tab w:val="num" w:pos="360"/>
        </w:tabs>
        <w:ind w:left="340"/>
      </w:pPr>
      <w:r>
        <w:tab/>
      </w:r>
      <w:r w:rsidRPr="00B8159C">
        <w:t>Projektové podklady:</w:t>
      </w:r>
      <w:r w:rsidR="006F63E1" w:rsidRPr="00B8159C">
        <w:t xml:space="preserve"> / Podklady pro zpracování projektové dokumentace</w:t>
      </w:r>
    </w:p>
    <w:p w14:paraId="6EFB85B6" w14:textId="4D53DE6F" w:rsidR="003D1F25" w:rsidRDefault="00FE02FE" w:rsidP="003D1F25">
      <w:pPr>
        <w:pStyle w:val="Odrazky"/>
      </w:pPr>
      <w:r>
        <w:t xml:space="preserve">objednávka projektové dokumentace </w:t>
      </w:r>
      <w:r w:rsidR="00596790">
        <w:t>R-Projekt 07 Praha s.r.o.</w:t>
      </w:r>
    </w:p>
    <w:p w14:paraId="3CCFCBD6" w14:textId="71B44B24" w:rsidR="00A2400E" w:rsidRDefault="00A2400E" w:rsidP="003D1F25">
      <w:pPr>
        <w:pStyle w:val="Odrazky"/>
      </w:pPr>
      <w:r w:rsidRPr="00A834CB">
        <w:t>požadavk</w:t>
      </w:r>
      <w:r>
        <w:t>y</w:t>
      </w:r>
      <w:r w:rsidRPr="00A834CB">
        <w:t xml:space="preserve"> </w:t>
      </w:r>
      <w:r w:rsidR="00D856E1">
        <w:t>úřadu MČ Praha 4</w:t>
      </w:r>
    </w:p>
    <w:p w14:paraId="1A018AA5" w14:textId="484E33A5" w:rsidR="00596790" w:rsidRPr="003D1F25" w:rsidRDefault="00596790" w:rsidP="003D1F25">
      <w:pPr>
        <w:pStyle w:val="Odrazky"/>
      </w:pPr>
      <w:r>
        <w:t>PD od R-Projekt 07 Praha s.r.o.</w:t>
      </w:r>
    </w:p>
    <w:p w14:paraId="78D6EA01" w14:textId="77777777" w:rsidR="00B6216B" w:rsidRDefault="00547FF4" w:rsidP="00C4719B">
      <w:pPr>
        <w:pStyle w:val="Odrazky"/>
        <w:spacing w:before="0"/>
      </w:pPr>
      <w:r>
        <w:t>o</w:t>
      </w:r>
      <w:r w:rsidR="008D7A9B">
        <w:t>becné p</w:t>
      </w:r>
      <w:r w:rsidR="00A6347F">
        <w:t xml:space="preserve">ožadavky od </w:t>
      </w:r>
      <w:r w:rsidR="00B6216B">
        <w:t xml:space="preserve">správce </w:t>
      </w:r>
      <w:r w:rsidR="008D7A9B">
        <w:t>VO</w:t>
      </w:r>
    </w:p>
    <w:p w14:paraId="0563251D" w14:textId="74E0D077" w:rsidR="00B6216B" w:rsidRDefault="00547FF4" w:rsidP="00C4719B">
      <w:pPr>
        <w:pStyle w:val="Odrazky"/>
        <w:spacing w:before="0"/>
      </w:pPr>
      <w:r>
        <w:t xml:space="preserve">geografické data </w:t>
      </w:r>
      <w:r w:rsidR="00151A01">
        <w:t>hl. m.</w:t>
      </w:r>
      <w:r>
        <w:t xml:space="preserve"> Prahy </w:t>
      </w:r>
    </w:p>
    <w:p w14:paraId="47936C74" w14:textId="77777777" w:rsidR="0052558D" w:rsidRDefault="00E033D1" w:rsidP="00C4719B">
      <w:pPr>
        <w:pStyle w:val="Odrazky"/>
        <w:spacing w:before="0"/>
      </w:pPr>
      <w:r>
        <w:t>prohlídka místa</w:t>
      </w:r>
    </w:p>
    <w:p w14:paraId="7DB46A57" w14:textId="77777777" w:rsidR="009201B7" w:rsidRDefault="009201B7" w:rsidP="00D77FBD">
      <w:pPr>
        <w:pStyle w:val="Odrazky"/>
        <w:numPr>
          <w:ilvl w:val="0"/>
          <w:numId w:val="0"/>
        </w:numPr>
      </w:pPr>
    </w:p>
    <w:p w14:paraId="0D608165" w14:textId="77777777" w:rsidR="009201B7" w:rsidRDefault="009201B7" w:rsidP="008D76A4">
      <w:pPr>
        <w:pStyle w:val="Nadpis2"/>
        <w:tabs>
          <w:tab w:val="clear" w:pos="7731"/>
          <w:tab w:val="num" w:pos="360"/>
        </w:tabs>
        <w:ind w:left="340"/>
      </w:pPr>
      <w:r>
        <w:tab/>
      </w:r>
      <w:r w:rsidR="00A235B2">
        <w:t>Základní technické údaje:</w:t>
      </w:r>
    </w:p>
    <w:p w14:paraId="4A50C7D9" w14:textId="77777777" w:rsidR="00BD27AC" w:rsidRDefault="00BD27AC" w:rsidP="00BD27AC">
      <w:pPr>
        <w:tabs>
          <w:tab w:val="left" w:pos="567"/>
        </w:tabs>
        <w:spacing w:before="0" w:line="240" w:lineRule="auto"/>
        <w:ind w:left="2835" w:hanging="2835"/>
      </w:pPr>
      <w:r>
        <w:tab/>
      </w:r>
      <w:r w:rsidR="009201B7">
        <w:t>Napájecí soustava:</w:t>
      </w:r>
      <w:r w:rsidR="009201B7">
        <w:tab/>
      </w:r>
      <w:r>
        <w:t>3+PEN, 230/</w:t>
      </w:r>
      <w:proofErr w:type="gramStart"/>
      <w:r>
        <w:t>400V</w:t>
      </w:r>
      <w:proofErr w:type="gramEnd"/>
      <w:r>
        <w:t xml:space="preserve">, 50Hz, TN-C-S, </w:t>
      </w:r>
    </w:p>
    <w:p w14:paraId="180FA69A" w14:textId="77777777" w:rsidR="00BD27AC" w:rsidRDefault="00BD27AC" w:rsidP="00BD27AC">
      <w:pPr>
        <w:tabs>
          <w:tab w:val="left" w:pos="567"/>
        </w:tabs>
        <w:spacing w:before="0" w:line="240" w:lineRule="auto"/>
        <w:ind w:left="2835" w:hanging="2835"/>
      </w:pPr>
      <w:r>
        <w:tab/>
      </w:r>
      <w:r>
        <w:tab/>
        <w:t>kde místo rozdělení PEN je svorkovnice stožáru</w:t>
      </w:r>
    </w:p>
    <w:p w14:paraId="2B772276" w14:textId="77777777" w:rsidR="00DD59EF" w:rsidRDefault="00DD59EF" w:rsidP="00BD27AC">
      <w:pPr>
        <w:tabs>
          <w:tab w:val="left" w:pos="567"/>
        </w:tabs>
        <w:spacing w:before="0" w:line="240" w:lineRule="auto"/>
        <w:ind w:left="2835" w:hanging="2835"/>
      </w:pPr>
    </w:p>
    <w:p w14:paraId="1471CB68" w14:textId="77777777" w:rsidR="009201B7" w:rsidRDefault="009201B7" w:rsidP="00C4719B">
      <w:pPr>
        <w:spacing w:before="0" w:line="240" w:lineRule="auto"/>
      </w:pPr>
      <w:r>
        <w:tab/>
      </w:r>
    </w:p>
    <w:p w14:paraId="6C9513A5" w14:textId="28576C8A" w:rsidR="00DD59EF" w:rsidRDefault="005E22CD" w:rsidP="00C4719B">
      <w:pPr>
        <w:spacing w:before="0" w:line="240" w:lineRule="auto"/>
      </w:pPr>
      <w:r>
        <w:tab/>
        <w:t>Energetická bilance</w:t>
      </w:r>
      <w:r w:rsidR="00B825E8">
        <w:t xml:space="preserve"> (navýšení stávajícího příkonu)</w:t>
      </w:r>
      <w:r>
        <w:t>:</w:t>
      </w:r>
      <w:proofErr w:type="gramStart"/>
      <w:r w:rsidR="00B825E8">
        <w:t>1</w:t>
      </w:r>
      <w:r w:rsidR="00596790">
        <w:t>33</w:t>
      </w:r>
      <w:r>
        <w:t>W</w:t>
      </w:r>
      <w:proofErr w:type="gramEnd"/>
      <w:r>
        <w:t xml:space="preserve"> </w:t>
      </w:r>
    </w:p>
    <w:p w14:paraId="7983E1D6" w14:textId="77777777" w:rsidR="000100EC" w:rsidRDefault="000100EC" w:rsidP="00C4719B">
      <w:pPr>
        <w:spacing w:before="0" w:line="240" w:lineRule="auto"/>
      </w:pPr>
    </w:p>
    <w:p w14:paraId="0AFDA23A" w14:textId="77777777" w:rsidR="00DF3F50" w:rsidRDefault="00DF3F50" w:rsidP="00C4719B">
      <w:pPr>
        <w:spacing w:before="0" w:line="240" w:lineRule="auto"/>
      </w:pPr>
    </w:p>
    <w:p w14:paraId="3F455374" w14:textId="77777777" w:rsidR="009201B7" w:rsidRDefault="00DF3F50" w:rsidP="00C4719B">
      <w:pPr>
        <w:spacing w:before="0" w:line="240" w:lineRule="auto"/>
      </w:pPr>
      <w:r>
        <w:tab/>
      </w:r>
      <w:r w:rsidR="009201B7">
        <w:t xml:space="preserve">Ochrana proti nebezpečnému dotykovému napětí: dle ČSN 332000-4-41 </w:t>
      </w:r>
    </w:p>
    <w:p w14:paraId="619F4E73" w14:textId="77777777" w:rsidR="009201B7" w:rsidRDefault="009201B7" w:rsidP="00C4719B">
      <w:pPr>
        <w:numPr>
          <w:ilvl w:val="0"/>
          <w:numId w:val="8"/>
        </w:numPr>
        <w:tabs>
          <w:tab w:val="clear" w:pos="3195"/>
          <w:tab w:val="left" w:pos="567"/>
        </w:tabs>
        <w:spacing w:before="0" w:line="240" w:lineRule="auto"/>
        <w:ind w:left="2977" w:hanging="142"/>
      </w:pPr>
      <w:r>
        <w:t>základní: samočinným odpojením od zdroje</w:t>
      </w:r>
    </w:p>
    <w:p w14:paraId="37916C4B" w14:textId="77777777" w:rsidR="00B6216B" w:rsidRDefault="00B6216B" w:rsidP="00C4719B">
      <w:pPr>
        <w:tabs>
          <w:tab w:val="left" w:pos="567"/>
        </w:tabs>
        <w:spacing w:before="0" w:line="240" w:lineRule="auto"/>
        <w:ind w:left="2835" w:hanging="2835"/>
      </w:pPr>
    </w:p>
    <w:p w14:paraId="60F43CE8" w14:textId="77777777" w:rsidR="009201B7" w:rsidRDefault="009201B7" w:rsidP="00C4719B">
      <w:pPr>
        <w:tabs>
          <w:tab w:val="left" w:pos="567"/>
        </w:tabs>
        <w:spacing w:before="0" w:line="240" w:lineRule="auto"/>
        <w:ind w:left="2835" w:hanging="2835"/>
      </w:pPr>
      <w:r>
        <w:tab/>
        <w:t>Uzemnění:</w:t>
      </w:r>
      <w:r>
        <w:tab/>
        <w:t xml:space="preserve">- dle ČSN </w:t>
      </w:r>
      <w:smartTag w:uri="urn:schemas-microsoft-com:office:smarttags" w:element="phone">
        <w:smartTagPr>
          <w:attr w:uri="urn:schemas-microsoft-com:office:office" w:name="ls" w:val="trans"/>
        </w:smartTagPr>
        <w:r>
          <w:t>332000-5-54</w:t>
        </w:r>
      </w:smartTag>
    </w:p>
    <w:p w14:paraId="14D16AF3" w14:textId="77777777" w:rsidR="00B6216B" w:rsidRDefault="00B6216B" w:rsidP="00C4719B">
      <w:pPr>
        <w:spacing w:before="0" w:line="240" w:lineRule="auto"/>
      </w:pPr>
    </w:p>
    <w:p w14:paraId="6F09E11A" w14:textId="5816B760" w:rsidR="008D76A4" w:rsidRDefault="009201B7" w:rsidP="002F514E">
      <w:pPr>
        <w:spacing w:before="0" w:line="240" w:lineRule="auto"/>
      </w:pPr>
      <w:r>
        <w:tab/>
      </w:r>
      <w:r w:rsidRPr="001D0B7F">
        <w:t>Prostředí:</w:t>
      </w:r>
      <w:r w:rsidRPr="001D0B7F">
        <w:tab/>
      </w:r>
      <w:r w:rsidRPr="001D0B7F">
        <w:tab/>
      </w:r>
      <w:r w:rsidRPr="001D0B7F">
        <w:tab/>
        <w:t>dle ČSN 33 2000-</w:t>
      </w:r>
      <w:r w:rsidR="00112A71" w:rsidRPr="001D0B7F">
        <w:t>1 ed. 2</w:t>
      </w:r>
      <w:r w:rsidRPr="001D0B7F">
        <w:t>: nebezpečné</w:t>
      </w:r>
    </w:p>
    <w:p w14:paraId="7A85CDD1" w14:textId="7C0226DA" w:rsidR="002F514E" w:rsidRDefault="002F514E" w:rsidP="002F514E">
      <w:pPr>
        <w:spacing w:before="0" w:line="240" w:lineRule="auto"/>
      </w:pPr>
    </w:p>
    <w:p w14:paraId="799960BE" w14:textId="0C215A6E" w:rsidR="00935D6D" w:rsidRDefault="00935D6D" w:rsidP="002F514E">
      <w:pPr>
        <w:spacing w:before="0" w:line="240" w:lineRule="auto"/>
      </w:pPr>
    </w:p>
    <w:p w14:paraId="7696D5BF" w14:textId="1392EB8A" w:rsidR="00935D6D" w:rsidRDefault="00935D6D" w:rsidP="002F514E">
      <w:pPr>
        <w:spacing w:before="0" w:line="240" w:lineRule="auto"/>
      </w:pPr>
    </w:p>
    <w:p w14:paraId="0662B706" w14:textId="141402E7" w:rsidR="00935D6D" w:rsidRDefault="00935D6D" w:rsidP="002F514E">
      <w:pPr>
        <w:spacing w:before="0" w:line="240" w:lineRule="auto"/>
      </w:pPr>
    </w:p>
    <w:p w14:paraId="5EC0015A" w14:textId="77777777" w:rsidR="00935D6D" w:rsidRDefault="00935D6D" w:rsidP="002F514E">
      <w:pPr>
        <w:spacing w:before="0" w:line="240" w:lineRule="auto"/>
      </w:pPr>
    </w:p>
    <w:p w14:paraId="690D89C5" w14:textId="77777777" w:rsidR="00A235B2" w:rsidRDefault="00A235B2" w:rsidP="008D76A4">
      <w:pPr>
        <w:pStyle w:val="Nadpis2"/>
        <w:tabs>
          <w:tab w:val="clear" w:pos="7731"/>
          <w:tab w:val="num" w:pos="360"/>
        </w:tabs>
        <w:ind w:left="340"/>
      </w:pPr>
      <w:r>
        <w:lastRenderedPageBreak/>
        <w:t>Popis technického řešení:</w:t>
      </w:r>
    </w:p>
    <w:p w14:paraId="7A903CE4" w14:textId="1D24457B" w:rsidR="00A2400E" w:rsidRDefault="00A2400E" w:rsidP="00A2400E">
      <w:pPr>
        <w:ind w:firstLine="340"/>
      </w:pPr>
      <w:r>
        <w:t xml:space="preserve">Na základě požadavku MČ Praha </w:t>
      </w:r>
      <w:r w:rsidR="00D856E1">
        <w:t xml:space="preserve">4 </w:t>
      </w:r>
      <w:r>
        <w:t xml:space="preserve">se mají nasvětlit chodníky </w:t>
      </w:r>
      <w:r w:rsidR="00D856E1">
        <w:t xml:space="preserve">revitalizovaného parku </w:t>
      </w:r>
      <w:r>
        <w:t xml:space="preserve">v ulici </w:t>
      </w:r>
      <w:r w:rsidR="00D856E1">
        <w:t>V Zápolí</w:t>
      </w:r>
      <w:r>
        <w:t>. Chodníky jsou veřejně přístupné a jsou na pozemcích M</w:t>
      </w:r>
      <w:r w:rsidR="00535E49">
        <w:t>Č Praha 4</w:t>
      </w:r>
      <w:r>
        <w:t xml:space="preserve">.  </w:t>
      </w:r>
      <w:r w:rsidR="00935D6D">
        <w:t>Technické řešení výstavby nového VO se týká stožárů, svítidel a kabelů</w:t>
      </w:r>
      <w:r w:rsidR="00D123B1">
        <w:t>.</w:t>
      </w:r>
    </w:p>
    <w:p w14:paraId="574D71C2" w14:textId="4386A2D3" w:rsidR="00030287" w:rsidRDefault="00A2400E" w:rsidP="00935D6D">
      <w:pPr>
        <w:ind w:firstLine="340"/>
      </w:pPr>
      <w:r>
        <w:t xml:space="preserve">Chodníky jsou určeny pro pěší, nízká intenzita, bez parkujících vozidel, jasnost střední až nízká, jsou tedy zatříděny do P4. </w:t>
      </w:r>
      <w:r w:rsidR="00691760" w:rsidRPr="009A1901">
        <w:t xml:space="preserve"> </w:t>
      </w:r>
    </w:p>
    <w:p w14:paraId="1BA3A80C" w14:textId="79C7A560" w:rsidR="00935D6D" w:rsidRDefault="00935D6D" w:rsidP="00D856E1">
      <w:pPr>
        <w:ind w:firstLine="340"/>
        <w:rPr>
          <w:b/>
          <w:bCs/>
        </w:rPr>
      </w:pPr>
      <w:r>
        <w:t xml:space="preserve">Osvětlení bude realizováno </w:t>
      </w:r>
      <w:r w:rsidRPr="00657DE2">
        <w:rPr>
          <w:b/>
          <w:bCs/>
        </w:rPr>
        <w:t>8</w:t>
      </w:r>
      <w:r>
        <w:t xml:space="preserve"> novými svítidly</w:t>
      </w:r>
      <w:r w:rsidR="00EB74CB">
        <w:t xml:space="preserve"> </w:t>
      </w:r>
      <w:r>
        <w:t xml:space="preserve">typu </w:t>
      </w:r>
      <w:r w:rsidRPr="00657DE2">
        <w:rPr>
          <w:b/>
          <w:bCs/>
        </w:rPr>
        <w:t xml:space="preserve">LED </w:t>
      </w:r>
      <w:r w:rsidR="00D856E1">
        <w:rPr>
          <w:b/>
          <w:bCs/>
        </w:rPr>
        <w:t xml:space="preserve"> </w:t>
      </w:r>
      <w:r w:rsidRPr="00657DE2">
        <w:rPr>
          <w:b/>
          <w:bCs/>
        </w:rPr>
        <w:t>1</w:t>
      </w:r>
      <w:r w:rsidR="00D856E1">
        <w:rPr>
          <w:b/>
          <w:bCs/>
        </w:rPr>
        <w:t>6,6</w:t>
      </w:r>
      <w:r w:rsidRPr="00657DE2">
        <w:rPr>
          <w:b/>
          <w:bCs/>
        </w:rPr>
        <w:t>W</w:t>
      </w:r>
      <w:r w:rsidR="00535E49">
        <w:rPr>
          <w:b/>
          <w:bCs/>
        </w:rPr>
        <w:t xml:space="preserve"> – (specifikace typu svítidla viz příloha zprávy)</w:t>
      </w:r>
      <w:r w:rsidRPr="00657DE2">
        <w:rPr>
          <w:b/>
          <w:bCs/>
        </w:rPr>
        <w:t>.</w:t>
      </w:r>
    </w:p>
    <w:p w14:paraId="16D6ACE4" w14:textId="7C2C05FA" w:rsidR="006317B3" w:rsidRPr="006317B3" w:rsidRDefault="00535E49" w:rsidP="006317B3">
      <w:pPr>
        <w:ind w:firstLine="340"/>
      </w:pPr>
      <w:r>
        <w:t>Svítidla musí vyhovovat standardům THMP</w:t>
      </w:r>
      <w:r w:rsidR="006317B3">
        <w:t xml:space="preserve"> uvedeným níže. </w:t>
      </w:r>
    </w:p>
    <w:p w14:paraId="3D33D1DE" w14:textId="28384BF3" w:rsidR="000B3D5B" w:rsidRDefault="000B3D5B" w:rsidP="00D856E1">
      <w:pPr>
        <w:ind w:firstLine="340"/>
      </w:pPr>
      <w:r w:rsidRPr="000B3D5B">
        <w:t>Osvětlovací soustava veřejného osvětlení je navržena tak aby svítidla vyhovovali</w:t>
      </w:r>
      <w:r>
        <w:t xml:space="preserve"> platným normám a předpisům a musí odpovídat „TECHNICKÉMU STANDARDU PRAŽSKÉHO LED SVÍTIDLA VO“. Tento dokument je uveden na stránkách </w:t>
      </w:r>
      <w:hyperlink r:id="rId11" w:history="1">
        <w:r w:rsidR="00932612" w:rsidRPr="00A24E5D">
          <w:rPr>
            <w:rStyle w:val="Hypertextovodkaz"/>
          </w:rPr>
          <w:t>www.thmp.cz</w:t>
        </w:r>
      </w:hyperlink>
      <w:r>
        <w:t>.</w:t>
      </w:r>
    </w:p>
    <w:p w14:paraId="3DE1B9D2" w14:textId="6924066E" w:rsidR="00932612" w:rsidRDefault="00932612" w:rsidP="00D856E1">
      <w:pPr>
        <w:ind w:firstLine="340"/>
      </w:pPr>
      <w:r>
        <w:t xml:space="preserve">Jelikož v prostoru parku nejsou v blízkosti bytové prostory: rušivé světlo není nutné kontrolovat. </w:t>
      </w:r>
    </w:p>
    <w:p w14:paraId="55D1BD14" w14:textId="2489A36C" w:rsidR="00EE4E24" w:rsidRDefault="00657DE2" w:rsidP="00657DE2">
      <w:pPr>
        <w:ind w:firstLine="567"/>
      </w:pPr>
      <w:r w:rsidRPr="002F2C9B">
        <w:t>Každé svítidlo bude vybaveno standardizovaným konektorem</w:t>
      </w:r>
      <w:r w:rsidR="002F2C9B" w:rsidRPr="002F2C9B">
        <w:t xml:space="preserve"> ZHAGA</w:t>
      </w:r>
      <w:r w:rsidRPr="002F2C9B">
        <w:t xml:space="preserve"> a komunikační jednotkou řízenou přes síť MESH z centrálního řídícího systému – jednotky RMJ v ZM.</w:t>
      </w:r>
    </w:p>
    <w:p w14:paraId="25379971" w14:textId="77777777" w:rsidR="00657DE2" w:rsidRDefault="00657DE2" w:rsidP="00657DE2">
      <w:pPr>
        <w:ind w:firstLine="567"/>
      </w:pPr>
    </w:p>
    <w:p w14:paraId="7D2E133A" w14:textId="61063A4C" w:rsidR="00657DE2" w:rsidRPr="00512849" w:rsidRDefault="00657DE2" w:rsidP="00657DE2">
      <w:pPr>
        <w:spacing w:before="0"/>
        <w:rPr>
          <w:i/>
          <w:sz w:val="20"/>
        </w:rPr>
      </w:pPr>
      <w:r w:rsidRPr="00512849">
        <w:rPr>
          <w:i/>
          <w:sz w:val="20"/>
        </w:rPr>
        <w:t>Stávající dotčen</w:t>
      </w:r>
      <w:r>
        <w:rPr>
          <w:i/>
          <w:sz w:val="20"/>
        </w:rPr>
        <w:t>á</w:t>
      </w:r>
      <w:r w:rsidRPr="00512849">
        <w:rPr>
          <w:i/>
          <w:sz w:val="20"/>
        </w:rPr>
        <w:t xml:space="preserve"> zařízení VO č.: </w:t>
      </w:r>
    </w:p>
    <w:p w14:paraId="0E36C6B0" w14:textId="58DE3261" w:rsidR="004D6954" w:rsidRPr="004D6954" w:rsidRDefault="00657DE2" w:rsidP="004D6954">
      <w:pPr>
        <w:ind w:firstLine="567"/>
        <w:rPr>
          <w:i/>
          <w:sz w:val="20"/>
        </w:rPr>
      </w:pPr>
      <w:r w:rsidRPr="00512849">
        <w:rPr>
          <w:i/>
          <w:sz w:val="20"/>
        </w:rPr>
        <w:tab/>
      </w:r>
      <w:r w:rsidR="00487736">
        <w:rPr>
          <w:i/>
          <w:sz w:val="20"/>
        </w:rPr>
        <w:t>414300</w:t>
      </w:r>
      <w:r w:rsidRPr="00512849">
        <w:rPr>
          <w:i/>
          <w:sz w:val="20"/>
        </w:rPr>
        <w:t xml:space="preserve">: </w:t>
      </w:r>
      <w:r w:rsidRPr="00512849">
        <w:rPr>
          <w:i/>
          <w:sz w:val="20"/>
        </w:rPr>
        <w:tab/>
        <w:t xml:space="preserve">stožár </w:t>
      </w:r>
      <w:r>
        <w:rPr>
          <w:i/>
          <w:sz w:val="20"/>
        </w:rPr>
        <w:t xml:space="preserve">J </w:t>
      </w:r>
      <w:proofErr w:type="gramStart"/>
      <w:r w:rsidR="00487736">
        <w:rPr>
          <w:i/>
          <w:sz w:val="20"/>
        </w:rPr>
        <w:t>10</w:t>
      </w:r>
      <w:r w:rsidRPr="00512849">
        <w:rPr>
          <w:i/>
          <w:sz w:val="20"/>
        </w:rPr>
        <w:t>m</w:t>
      </w:r>
      <w:proofErr w:type="gramEnd"/>
      <w:r w:rsidR="00487736">
        <w:rPr>
          <w:i/>
          <w:sz w:val="20"/>
        </w:rPr>
        <w:t xml:space="preserve"> s paticí</w:t>
      </w:r>
      <w:r w:rsidRPr="00512849">
        <w:rPr>
          <w:i/>
          <w:sz w:val="20"/>
        </w:rPr>
        <w:t xml:space="preserve">, svítidlo </w:t>
      </w:r>
      <w:r w:rsidR="00487736">
        <w:rPr>
          <w:i/>
          <w:sz w:val="20"/>
        </w:rPr>
        <w:t>MARS</w:t>
      </w:r>
      <w:r w:rsidRPr="00512849">
        <w:rPr>
          <w:i/>
          <w:sz w:val="20"/>
        </w:rPr>
        <w:t xml:space="preserve"> 70W, výložník-</w:t>
      </w:r>
      <w:r>
        <w:rPr>
          <w:i/>
          <w:sz w:val="20"/>
        </w:rPr>
        <w:t>1</w:t>
      </w:r>
      <w:r w:rsidRPr="00512849">
        <w:rPr>
          <w:i/>
          <w:sz w:val="20"/>
        </w:rPr>
        <w:t xml:space="preserve">500, kabel </w:t>
      </w:r>
      <w:r>
        <w:rPr>
          <w:i/>
          <w:sz w:val="20"/>
        </w:rPr>
        <w:t>CYKY</w:t>
      </w:r>
      <w:r w:rsidRPr="00512849">
        <w:rPr>
          <w:i/>
          <w:sz w:val="20"/>
        </w:rPr>
        <w:t xml:space="preserve"> 4x</w:t>
      </w:r>
      <w:r w:rsidR="00487736">
        <w:rPr>
          <w:i/>
          <w:sz w:val="20"/>
        </w:rPr>
        <w:t>25</w:t>
      </w:r>
    </w:p>
    <w:p w14:paraId="2199B87D" w14:textId="77777777" w:rsidR="00A235B2" w:rsidRDefault="00A235B2" w:rsidP="00C013BE">
      <w:pPr>
        <w:pStyle w:val="Nadpis2"/>
        <w:tabs>
          <w:tab w:val="clear" w:pos="7731"/>
          <w:tab w:val="num" w:pos="360"/>
        </w:tabs>
        <w:ind w:left="340"/>
      </w:pPr>
      <w:r>
        <w:t>Demontáže</w:t>
      </w:r>
      <w:r w:rsidRPr="004E6496">
        <w:t>:</w:t>
      </w:r>
    </w:p>
    <w:p w14:paraId="5F0A6FB4" w14:textId="3FBCBFD7" w:rsidR="00E404E1" w:rsidRDefault="00657DE2" w:rsidP="00E404E1">
      <w:pPr>
        <w:spacing w:before="0"/>
        <w:ind w:firstLine="340"/>
        <w:rPr>
          <w:rFonts w:eastAsia="MS Mincho" w:cs="Arial"/>
          <w:szCs w:val="22"/>
        </w:rPr>
      </w:pPr>
      <w:r>
        <w:t>Demontáže nebudou.</w:t>
      </w:r>
    </w:p>
    <w:p w14:paraId="75BD8163" w14:textId="77777777" w:rsidR="00FE02AA" w:rsidRDefault="00A235B2" w:rsidP="00FE02AA">
      <w:pPr>
        <w:pStyle w:val="Nadpis2"/>
        <w:tabs>
          <w:tab w:val="clear" w:pos="7731"/>
          <w:tab w:val="num" w:pos="360"/>
        </w:tabs>
        <w:ind w:left="340"/>
      </w:pPr>
      <w:r>
        <w:t>Napájení</w:t>
      </w:r>
      <w:r w:rsidRPr="004E6496">
        <w:t>:</w:t>
      </w:r>
    </w:p>
    <w:p w14:paraId="3920F141" w14:textId="1EFD83EB" w:rsidR="00FF67B8" w:rsidRPr="00EE4E24" w:rsidRDefault="00FF67B8" w:rsidP="00EE4E24">
      <w:pPr>
        <w:ind w:firstLine="567"/>
        <w:rPr>
          <w:iCs/>
        </w:rPr>
      </w:pPr>
      <w:r>
        <w:rPr>
          <w:iCs/>
        </w:rPr>
        <w:t xml:space="preserve">Napájení </w:t>
      </w:r>
      <w:r w:rsidR="00657DE2">
        <w:rPr>
          <w:iCs/>
        </w:rPr>
        <w:t>nové části</w:t>
      </w:r>
      <w:r>
        <w:rPr>
          <w:iCs/>
        </w:rPr>
        <w:t xml:space="preserve"> VO bude ze stávajícího ZM 0</w:t>
      </w:r>
      <w:r w:rsidR="00487736">
        <w:rPr>
          <w:iCs/>
        </w:rPr>
        <w:t>175</w:t>
      </w:r>
      <w:r w:rsidR="00657DE2">
        <w:rPr>
          <w:iCs/>
        </w:rPr>
        <w:t xml:space="preserve"> ze směru číslo </w:t>
      </w:r>
      <w:r w:rsidR="00487736">
        <w:rPr>
          <w:iCs/>
        </w:rPr>
        <w:t>6</w:t>
      </w:r>
      <w:r>
        <w:rPr>
          <w:iCs/>
        </w:rPr>
        <w:t>.</w:t>
      </w:r>
      <w:r w:rsidR="00174621">
        <w:rPr>
          <w:iCs/>
        </w:rPr>
        <w:t xml:space="preserve"> </w:t>
      </w:r>
      <w:r w:rsidR="00657DE2">
        <w:rPr>
          <w:iCs/>
        </w:rPr>
        <w:t>Nová trasa VO se bude napájet ze stávajícího stožárů č.</w:t>
      </w:r>
      <w:r w:rsidR="00487736">
        <w:rPr>
          <w:iCs/>
        </w:rPr>
        <w:t>414300</w:t>
      </w:r>
      <w:r w:rsidR="00EE4E24">
        <w:t>.</w:t>
      </w:r>
    </w:p>
    <w:p w14:paraId="79DD4CEF" w14:textId="77777777" w:rsidR="00A235B2" w:rsidRPr="00C013BE" w:rsidRDefault="00A235B2" w:rsidP="00C013BE">
      <w:pPr>
        <w:pStyle w:val="Nadpis2"/>
        <w:tabs>
          <w:tab w:val="clear" w:pos="7731"/>
          <w:tab w:val="num" w:pos="360"/>
        </w:tabs>
        <w:ind w:left="340"/>
      </w:pPr>
      <w:r>
        <w:t>S</w:t>
      </w:r>
      <w:r w:rsidRPr="00FF4685">
        <w:t>tožáry:</w:t>
      </w:r>
    </w:p>
    <w:p w14:paraId="39DD5F9D" w14:textId="602C25F6" w:rsidR="00864418" w:rsidRDefault="00864418" w:rsidP="00864418">
      <w:r>
        <w:tab/>
      </w:r>
      <w:r w:rsidR="00657DE2">
        <w:t xml:space="preserve">Nové stožáry budou umístěné </w:t>
      </w:r>
      <w:r w:rsidR="005E78B5">
        <w:t>0,5m</w:t>
      </w:r>
      <w:r w:rsidR="00657DE2">
        <w:t xml:space="preserve"> od hrany chodníku</w:t>
      </w:r>
      <w:r w:rsidR="002F2C9B">
        <w:t xml:space="preserve">, kromě stožáru č. </w:t>
      </w:r>
      <w:r w:rsidR="005E78B5">
        <w:t>1/2 a 1/5</w:t>
      </w:r>
      <w:r w:rsidR="002F2C9B">
        <w:t xml:space="preserve"> kter</w:t>
      </w:r>
      <w:r w:rsidR="005E78B5">
        <w:t>é</w:t>
      </w:r>
      <w:r w:rsidR="002F2C9B">
        <w:t xml:space="preserve"> bud</w:t>
      </w:r>
      <w:r w:rsidR="005E78B5">
        <w:t>ou</w:t>
      </w:r>
      <w:r w:rsidR="002F2C9B">
        <w:t xml:space="preserve"> vzdálený od chodníku </w:t>
      </w:r>
      <w:proofErr w:type="gramStart"/>
      <w:r w:rsidR="002F2C9B">
        <w:t>1m</w:t>
      </w:r>
      <w:proofErr w:type="gramEnd"/>
      <w:r w:rsidR="00290DE0">
        <w:t xml:space="preserve">. </w:t>
      </w:r>
      <w:r w:rsidR="00FF67B8" w:rsidRPr="00BA6666">
        <w:t>Nové stožáry</w:t>
      </w:r>
      <w:r w:rsidR="00657DE2">
        <w:t xml:space="preserve"> v.</w:t>
      </w:r>
      <w:r w:rsidR="004D6954">
        <w:t xml:space="preserve"> </w:t>
      </w:r>
      <w:r w:rsidR="009A467C">
        <w:t>5</w:t>
      </w:r>
      <w:r w:rsidR="00657DE2">
        <w:t>m</w:t>
      </w:r>
      <w:r w:rsidR="00FF67B8" w:rsidRPr="00BA6666">
        <w:t xml:space="preserve"> budou ocelové, bezpaticové, </w:t>
      </w:r>
      <w:r w:rsidR="00037C61">
        <w:t>kuželové</w:t>
      </w:r>
      <w:r w:rsidR="00FF67B8" w:rsidRPr="00BA6666">
        <w:t xml:space="preserve"> a osazeny do pouzdrových základů s plastovým pouzdrem, rozměry jsou uvedeny v tabulce u řezu základem stožárů na konci technické zprávy</w:t>
      </w:r>
      <w:r w:rsidR="00FF67B8">
        <w:t>.</w:t>
      </w:r>
      <w:r w:rsidR="00FF67B8" w:rsidRPr="00FF67B8">
        <w:t xml:space="preserve"> </w:t>
      </w:r>
      <w:r w:rsidR="00FF67B8" w:rsidRPr="00BA6666">
        <w:t>Na dně pouzdra bude umístěna plastová dlaždice.</w:t>
      </w:r>
      <w:r w:rsidR="00FF67B8" w:rsidRPr="00337283">
        <w:t xml:space="preserve"> </w:t>
      </w:r>
      <w:r w:rsidR="00337283" w:rsidRPr="00337283">
        <w:t>Na základy se použije beton typu B25 (C20/25</w:t>
      </w:r>
      <w:r w:rsidR="00337283" w:rsidRPr="00337283">
        <w:rPr>
          <w:i/>
          <w:iCs/>
        </w:rPr>
        <w:t>).</w:t>
      </w:r>
      <w:r w:rsidR="004040E1">
        <w:t xml:space="preserve"> </w:t>
      </w:r>
      <w:r w:rsidRPr="00540E0A">
        <w:t>V betonových základech bude vynechán prostor pro kabely a uzemnění pomocí chrániček, se spádem směrem od stožáru. Spodní část stožárů bude opatřena ochranným antikorozním nátěrem</w:t>
      </w:r>
      <w:r w:rsidR="001C387A">
        <w:t xml:space="preserve"> nebo manžetou</w:t>
      </w:r>
      <w:r w:rsidRPr="00540E0A">
        <w:t xml:space="preserve">. Stožáry budou postaveny do pouzdra, zaklínkovány, vyrovnány, </w:t>
      </w:r>
      <w:r w:rsidR="00BA3BF6" w:rsidRPr="00540E0A">
        <w:t>za pískovány</w:t>
      </w:r>
      <w:r w:rsidRPr="00540E0A">
        <w:t xml:space="preserve"> (hutněno), na povrchu okolo stožáru se vytvoří betonová čepička se sklonem od stožáru (čepička být nemusí, pokud definitivní povrch chodníku bude asfalt nebo zámková dlažba</w:t>
      </w:r>
      <w:r w:rsidR="00B337D5" w:rsidRPr="00540E0A">
        <w:t>)</w:t>
      </w:r>
      <w:r w:rsidRPr="00540E0A">
        <w:t xml:space="preserve">. </w:t>
      </w:r>
      <w:r w:rsidRPr="00C013BE">
        <w:t>Zemní svorka bude označena žlutozelenou barvou, popř. se na nadzemní část zemnícího vodiče před konečným připojením převleče žlutozeleným značením.</w:t>
      </w:r>
      <w:r>
        <w:t xml:space="preserve"> </w:t>
      </w:r>
    </w:p>
    <w:p w14:paraId="5BE08F5C" w14:textId="33DAA9CD" w:rsidR="005569F2" w:rsidRPr="00BA6666" w:rsidRDefault="00864418" w:rsidP="005569F2">
      <w:r>
        <w:tab/>
      </w:r>
      <w:r w:rsidR="005569F2" w:rsidRPr="00BA6666">
        <w:t xml:space="preserve">Svítidla budou napojena ze svorkovnice stožáru kabelem CYKY-J </w:t>
      </w:r>
      <w:r w:rsidR="002F2C9B">
        <w:t>5</w:t>
      </w:r>
      <w:r w:rsidR="005569F2" w:rsidRPr="00BA6666">
        <w:t xml:space="preserve">x1,5 ve svorkovnici bude odjištění pojistkou </w:t>
      </w:r>
      <w:proofErr w:type="gramStart"/>
      <w:r w:rsidR="005569F2" w:rsidRPr="00BA6666">
        <w:t>6A</w:t>
      </w:r>
      <w:proofErr w:type="gramEnd"/>
      <w:r w:rsidR="005569F2" w:rsidRPr="00BA6666">
        <w:t>. Každé svítidlo bude mít vlastní svod i vlastní jištění (každé svítidlo bude jištěno samostatně).</w:t>
      </w:r>
    </w:p>
    <w:p w14:paraId="50E89C2E" w14:textId="77777777" w:rsidR="005569F2" w:rsidRPr="00F67DB5" w:rsidRDefault="005569F2" w:rsidP="005569F2">
      <w:pPr>
        <w:pStyle w:val="Zkladntextodsazen3"/>
      </w:pPr>
      <w:r w:rsidRPr="00F67DB5">
        <w:lastRenderedPageBreak/>
        <w:tab/>
        <w:t xml:space="preserve">Při návrhu umístění stožárů je třeba zohlednit umístění stávajících stromů v souvislosti s růstem koruny a následného zastínění svítidla. </w:t>
      </w:r>
    </w:p>
    <w:p w14:paraId="06BC6FCC" w14:textId="54B653A7" w:rsidR="005569F2" w:rsidRDefault="005569F2" w:rsidP="005569F2">
      <w:r w:rsidRPr="00F67DB5">
        <w:tab/>
        <w:t>Všechny nové stožáry VO budou označeny typovými štítky s evidenčními čísly správce VO.</w:t>
      </w:r>
    </w:p>
    <w:p w14:paraId="098E13D6" w14:textId="0A9E026B" w:rsidR="005569F2" w:rsidRDefault="005569F2" w:rsidP="005569F2">
      <w:pPr>
        <w:pStyle w:val="Nadpis2"/>
        <w:tabs>
          <w:tab w:val="clear" w:pos="7731"/>
        </w:tabs>
        <w:ind w:left="340"/>
      </w:pPr>
      <w:r>
        <w:t>Kabelové vedení:</w:t>
      </w:r>
    </w:p>
    <w:p w14:paraId="2A391404" w14:textId="276FA0D9" w:rsidR="004A0A2C" w:rsidRDefault="004A0A2C" w:rsidP="004A0A2C">
      <w:r>
        <w:tab/>
        <w:t>Všechny nové</w:t>
      </w:r>
      <w:r w:rsidR="005D5A42">
        <w:t xml:space="preserve"> a stávající</w:t>
      </w:r>
      <w:r>
        <w:t xml:space="preserve"> stožáry budou napojeny novým kabelem CYKY-J 4x1</w:t>
      </w:r>
      <w:r w:rsidR="00C85DCB">
        <w:t>6</w:t>
      </w:r>
      <w:r>
        <w:t xml:space="preserve">. Kabely budou vedeny ve výkopu v chodníku nebo ose stožárů v hloubce </w:t>
      </w:r>
      <w:r w:rsidR="006A7D88">
        <w:t>50-70cm</w:t>
      </w:r>
      <w:r w:rsidR="001B7B9B">
        <w:t xml:space="preserve">, v celé trase v chráničce o </w:t>
      </w:r>
      <w:r w:rsidR="006A7D88" w:rsidRPr="00A12927">
        <w:rPr>
          <w:rFonts w:ascii="Cambria Math" w:hAnsi="Cambria Math" w:cs="Cambria Math"/>
        </w:rPr>
        <w:t>∅</w:t>
      </w:r>
      <w:r w:rsidR="005569F2">
        <w:t>63</w:t>
      </w:r>
      <w:r>
        <w:t>.</w:t>
      </w:r>
      <w:r w:rsidR="00E61830" w:rsidRPr="00E61830">
        <w:t xml:space="preserve"> </w:t>
      </w:r>
      <w:r w:rsidR="00E61830">
        <w:t xml:space="preserve">V místech bez stromů a v zeleni budou kabely vedeny v hl. </w:t>
      </w:r>
      <w:r w:rsidR="004D6954">
        <w:t>8</w:t>
      </w:r>
      <w:r w:rsidR="005569F2">
        <w:t>0</w:t>
      </w:r>
      <w:r w:rsidR="00E61830">
        <w:t>cm, v pískovém loži dle vzorových řezů výkopem</w:t>
      </w:r>
      <w:r>
        <w:t>. Na 1 kabel bude 1 chránička</w:t>
      </w:r>
      <w:r w:rsidR="004D6954">
        <w:t>.</w:t>
      </w:r>
    </w:p>
    <w:p w14:paraId="6AC1A2AF" w14:textId="348731C2" w:rsidR="004A0A2C" w:rsidRDefault="004A0A2C" w:rsidP="004A0A2C">
      <w:r>
        <w:tab/>
        <w:t xml:space="preserve">Všechny stožáry budou přizemněny zemnícím drátem </w:t>
      </w:r>
      <w:proofErr w:type="spellStart"/>
      <w:r>
        <w:t>FeZn</w:t>
      </w:r>
      <w:proofErr w:type="spellEnd"/>
      <w:r>
        <w:t xml:space="preserve"> </w:t>
      </w:r>
      <w:r>
        <w:rPr>
          <w:rFonts w:cs="Arial"/>
        </w:rPr>
        <w:t>Ø</w:t>
      </w:r>
      <w:r>
        <w:t xml:space="preserve"> </w:t>
      </w:r>
      <w:proofErr w:type="gramStart"/>
      <w:r>
        <w:t>10mm</w:t>
      </w:r>
      <w:proofErr w:type="gramEnd"/>
      <w:r>
        <w:t xml:space="preserve">, který bude veden </w:t>
      </w:r>
      <w:r w:rsidR="005569F2">
        <w:t xml:space="preserve">od </w:t>
      </w:r>
      <w:r w:rsidR="004D6954">
        <w:t>stožár</w:t>
      </w:r>
      <w:r w:rsidR="00535E49">
        <w:t>u</w:t>
      </w:r>
      <w:r w:rsidR="004D6954">
        <w:t xml:space="preserve"> č. </w:t>
      </w:r>
      <w:r w:rsidR="00037C61">
        <w:t>414300</w:t>
      </w:r>
      <w:r w:rsidR="005569F2">
        <w:t xml:space="preserve"> </w:t>
      </w:r>
      <w:r>
        <w:t>společně s kabelem.</w:t>
      </w:r>
    </w:p>
    <w:p w14:paraId="218B0D7C" w14:textId="77777777" w:rsidR="00F26388" w:rsidRDefault="004A0A2C" w:rsidP="006D7480">
      <w:r>
        <w:tab/>
        <w:t>Stožáry budou rovnoměrně napojeny na jednotlivé fáze L1, L2 a L3 – rozfázováno.</w:t>
      </w:r>
    </w:p>
    <w:p w14:paraId="6E9115D3" w14:textId="21150715" w:rsidR="00890DF9" w:rsidRDefault="00544EC9" w:rsidP="006D7480">
      <w:r>
        <w:t xml:space="preserve"> </w:t>
      </w:r>
      <w:r w:rsidR="005569F2">
        <w:t>Kabely budou vedeny ve výkopu THMP dle výkresové dokumentace.</w:t>
      </w:r>
    </w:p>
    <w:p w14:paraId="3152C588" w14:textId="4A8979D2" w:rsidR="00A7282F" w:rsidRDefault="0061084A" w:rsidP="006D7480">
      <w:r>
        <w:tab/>
      </w:r>
      <w:r w:rsidR="00AC271C">
        <w:t>Zpevněné povrchy po výkopech budou obecně upraveny dle standardů a požadavků správce – TSK Praha.</w:t>
      </w:r>
    </w:p>
    <w:p w14:paraId="4F70BA09" w14:textId="77777777" w:rsidR="00A235B2" w:rsidRDefault="00A235B2" w:rsidP="00A235B2">
      <w:pPr>
        <w:pStyle w:val="Nadpis2"/>
        <w:tabs>
          <w:tab w:val="clear" w:pos="7731"/>
        </w:tabs>
        <w:ind w:left="340"/>
      </w:pPr>
      <w:bookmarkStart w:id="0" w:name="_Toc285044868"/>
      <w:r>
        <w:t>Požadavky na postup stavebních a montážních prací</w:t>
      </w:r>
      <w:bookmarkEnd w:id="0"/>
      <w:r>
        <w:t>:</w:t>
      </w:r>
    </w:p>
    <w:p w14:paraId="329DDDFC" w14:textId="77777777" w:rsidR="00F40AA8" w:rsidRPr="00AE29F2" w:rsidRDefault="00F40AA8" w:rsidP="00F40AA8">
      <w:pPr>
        <w:spacing w:line="240" w:lineRule="atLeast"/>
      </w:pPr>
      <w:r w:rsidRPr="00AE29F2">
        <w:tab/>
        <w:t>Montáž zařízení smí provádět pouze firma, která má pro tuto činnost vyškolený personál. Kromě toho musí být pracovníci dodavatelských firem prokazatelně vyškoleni výrobcem příslušného zařízení a musí mít osvědčení o oprávnění zařízení montovat či provádět na něm servis. Při instalaci musí pracovníci dodavatelských firem bezpodmínečně dodržovat všechna právní ustanovení, týkající se bezpečnosti práce a ochrany zdraví pracovníků. Montáž musí odpovídat příslušným technickým podmínkám výrobců.</w:t>
      </w:r>
    </w:p>
    <w:p w14:paraId="6D59E9E8" w14:textId="77777777" w:rsidR="00F40AA8" w:rsidRPr="00AE29F2" w:rsidRDefault="00F40AA8" w:rsidP="00F40AA8">
      <w:pPr>
        <w:spacing w:line="240" w:lineRule="atLeast"/>
      </w:pPr>
      <w:r w:rsidRPr="00AE29F2">
        <w:tab/>
        <w:t>Provozní zkoušky zařízení slouží k ověření nastavení dodaného systému, ověřují jeho funkčnost a zároveň prokazují splnění požadovaných kvalitativních ukazatelů předmětné dodávky. Sjednání podmínek zkoušek bude zajištěno smlouvou mezi odběratelem a dodavatelem. Námi předkládaná dokumentace neřeší ani program předepsaných zkoušek, ani jejich náplň. Před uvedením jednotlivých zařízení do provozu bude zajištěno přezkoušení celého systému. Podle dohody sjednané s odběratelem může být na dohodnutou dobu sjednán i zkušební provoz zařízení. O případných provozních zkouškách bude sepsán zápis, který se stane nedílnou součástí předávací dokumentace. Součástí přejímacího zápisu bude komplexní dokumentace skutečného provedení.</w:t>
      </w:r>
    </w:p>
    <w:p w14:paraId="2D6F4F8F" w14:textId="77777777" w:rsidR="00F40AA8" w:rsidRPr="00AE29F2" w:rsidRDefault="00F40AA8" w:rsidP="00F40AA8">
      <w:pPr>
        <w:spacing w:line="240" w:lineRule="atLeast"/>
      </w:pPr>
      <w:r>
        <w:tab/>
      </w:r>
      <w:r w:rsidRPr="00AE29F2">
        <w:t>Před předáním zařízení do užívání je třeba zajistit vyškolení jeho obsluhy a především by měla být uzavřena servisní smlouva o technické údržbě zařízení po skončení záruční lhůty.</w:t>
      </w:r>
    </w:p>
    <w:p w14:paraId="224BF88B" w14:textId="77777777" w:rsidR="009454B1" w:rsidRDefault="00F26388" w:rsidP="009454B1">
      <w:pPr>
        <w:spacing w:line="240" w:lineRule="atLeast"/>
        <w:ind w:firstLine="567"/>
      </w:pPr>
      <w:r w:rsidRPr="00552A4B">
        <w:t xml:space="preserve">Před započetím zemních prací je dodavatel povinen vyzvat všechny dotčené správce podzemních zařízení k vytyčení stávajících sítí. </w:t>
      </w:r>
      <w:r>
        <w:t xml:space="preserve">Vzhledem k množství a blízkosti ostatních </w:t>
      </w:r>
      <w:proofErr w:type="spellStart"/>
      <w:r>
        <w:t>inž</w:t>
      </w:r>
      <w:proofErr w:type="spellEnd"/>
      <w:r>
        <w:t>. sítí budou výkopy provedeny ručně.</w:t>
      </w:r>
      <w:r w:rsidR="009454B1">
        <w:t xml:space="preserve"> Realizační firma při realizaci se bude řídit a splní požadavky dotčených orgánů a odborů MČ, MHMP, TSK, HZS HMP, PČR, HS HMP atd.. Pozemní komunikace přiléhající ke stavbě budou udržovány v čistotě. Výkopy budou ohraničeny výstražnou páskou. Bude zajištěn přístup ke všem objektům v dotčené oblasti a příjezd vozidlům dopravní obsluhy. Nebude omezen příjezd pohotovostním vozidlům. Při výjezdu vozidel ze staveniště bude zajištěno odstraňování nečistot z pneumatik a podběhů. Po ukončení prací budou všechny dotčené plochy uvedeny do původního stavu.</w:t>
      </w:r>
    </w:p>
    <w:p w14:paraId="578AACEF" w14:textId="77777777" w:rsidR="00F26388" w:rsidRPr="00552A4B" w:rsidRDefault="00F14DD6" w:rsidP="00F26388">
      <w:pPr>
        <w:spacing w:line="240" w:lineRule="atLeast"/>
      </w:pPr>
      <w:bookmarkStart w:id="1" w:name="_Hlk520789559"/>
      <w:r>
        <w:tab/>
      </w:r>
      <w:r w:rsidR="00F26388" w:rsidRPr="00552A4B">
        <w:t xml:space="preserve">Výkopové práce, položení kabelů, instalace stožárů a svítidel a zapojení kabelů bude provedeno jednak v souladu s POV </w:t>
      </w:r>
      <w:r w:rsidR="00A01352">
        <w:t xml:space="preserve">(plán organizace výstavby) </w:t>
      </w:r>
      <w:r w:rsidR="00F26388" w:rsidRPr="00552A4B">
        <w:t>stavby veřejného osvětlení</w:t>
      </w:r>
      <w:r w:rsidR="00C65A7F">
        <w:t xml:space="preserve">, </w:t>
      </w:r>
      <w:r w:rsidR="00F26388" w:rsidRPr="00552A4B">
        <w:t>výstavb</w:t>
      </w:r>
      <w:r w:rsidR="00C65A7F">
        <w:t>y</w:t>
      </w:r>
      <w:r w:rsidR="00F26388" w:rsidRPr="00552A4B">
        <w:t xml:space="preserve"> dotčených objektů</w:t>
      </w:r>
      <w:r w:rsidR="00C65A7F">
        <w:t xml:space="preserve"> a s ohledem na stávající instalaci v provozu</w:t>
      </w:r>
      <w:r w:rsidR="00F26388" w:rsidRPr="00552A4B">
        <w:t xml:space="preserve">. Před záhozem rýhy bude provedena kontrola uložení kabelů </w:t>
      </w:r>
      <w:r w:rsidR="00F26388">
        <w:t xml:space="preserve">správcem zařízení </w:t>
      </w:r>
      <w:r w:rsidR="00F26388" w:rsidRPr="00552A4B">
        <w:t>a bude proveden zához rýhy.</w:t>
      </w:r>
    </w:p>
    <w:bookmarkEnd w:id="1"/>
    <w:p w14:paraId="7E192EC1" w14:textId="77777777" w:rsidR="00F26388" w:rsidRPr="00552A4B" w:rsidRDefault="00F14DD6" w:rsidP="00F26388">
      <w:pPr>
        <w:spacing w:line="240" w:lineRule="atLeast"/>
      </w:pPr>
      <w:r>
        <w:lastRenderedPageBreak/>
        <w:tab/>
      </w:r>
      <w:r w:rsidR="00F26388" w:rsidRPr="00552A4B">
        <w:t>Před dokončením stavby zajistí dodavatel geodetické zaměření skutečného provedení stavby</w:t>
      </w:r>
      <w:r w:rsidR="001B6671">
        <w:t>.</w:t>
      </w:r>
    </w:p>
    <w:p w14:paraId="27238B77" w14:textId="77777777" w:rsidR="00934912" w:rsidRPr="00552A4B" w:rsidRDefault="00F14DD6" w:rsidP="00F26388">
      <w:pPr>
        <w:spacing w:line="240" w:lineRule="atLeast"/>
      </w:pPr>
      <w:r>
        <w:tab/>
      </w:r>
      <w:r w:rsidR="00F26388" w:rsidRPr="00552A4B">
        <w:t>Veřejné osvětlení bude uvedeno do provozu na základě revize</w:t>
      </w:r>
      <w:r w:rsidR="0096507F">
        <w:t>.</w:t>
      </w:r>
    </w:p>
    <w:p w14:paraId="19AA16B2" w14:textId="77777777" w:rsidR="00A235B2" w:rsidRDefault="00A235B2" w:rsidP="00A235B2">
      <w:pPr>
        <w:pStyle w:val="Nadpis2"/>
        <w:tabs>
          <w:tab w:val="clear" w:pos="7731"/>
        </w:tabs>
        <w:ind w:left="340"/>
      </w:pPr>
      <w:bookmarkStart w:id="2" w:name="_Hlk519193473"/>
      <w:bookmarkStart w:id="3" w:name="_Hlk32396945"/>
      <w:r>
        <w:t>Hygienické požadavky:</w:t>
      </w:r>
    </w:p>
    <w:p w14:paraId="2D356290" w14:textId="77777777" w:rsidR="00B07D6F" w:rsidRDefault="00B07D6F" w:rsidP="00B07D6F">
      <w:pPr>
        <w:spacing w:line="240" w:lineRule="atLeast"/>
      </w:pPr>
      <w:r>
        <w:tab/>
        <w:t xml:space="preserve">Stavba VO bude mít vliv na životní prostředí pouze po dobu výstavby, a to zejména kvůli zvýšené prašnosti a hlučnosti případně použitých strojů. Tento vliv bude pouze dočasný do dokončení stavby. Stavební práce budou prováděny v době od 7:00 – 20:00 hod. tak, že nebude překročen hygienický limit pro stavební hluk ve venkovním chráněném prostoru staveb, tj. 65 dB. </w:t>
      </w:r>
    </w:p>
    <w:p w14:paraId="7412F51E" w14:textId="77777777" w:rsidR="00B07D6F" w:rsidRDefault="00B07D6F" w:rsidP="00B07D6F">
      <w:pPr>
        <w:spacing w:before="0" w:line="240" w:lineRule="atLeast"/>
      </w:pPr>
      <w:r>
        <w:tab/>
        <w:t>Po dobu výstavby bude nutné postupovat zejména v souladu s předpisy:</w:t>
      </w:r>
    </w:p>
    <w:p w14:paraId="165272B1" w14:textId="77777777" w:rsidR="00B07D6F" w:rsidRDefault="00B07D6F" w:rsidP="00B07D6F">
      <w:pPr>
        <w:pStyle w:val="DDnormalnivcislovani"/>
        <w:spacing w:after="0"/>
        <w:ind w:left="0" w:firstLine="0"/>
        <w:rPr>
          <w:spacing w:val="1"/>
        </w:rPr>
      </w:pPr>
      <w:r>
        <w:rPr>
          <w:spacing w:val="1"/>
        </w:rPr>
        <w:tab/>
        <w:t xml:space="preserve">- z hlediska ochrany ovzduší dle zákona č. 201/2012 Sb. ve znění pozdějších předpisů, </w:t>
      </w:r>
    </w:p>
    <w:p w14:paraId="7406AE43" w14:textId="77777777" w:rsidR="00B07D6F" w:rsidRDefault="00B07D6F" w:rsidP="00B07D6F">
      <w:pPr>
        <w:pStyle w:val="DDnormalnivcislovani"/>
        <w:spacing w:after="0"/>
        <w:ind w:left="567" w:hanging="567"/>
        <w:rPr>
          <w:spacing w:val="1"/>
        </w:rPr>
      </w:pPr>
      <w:r>
        <w:tab/>
        <w:t>- z hlediska odpadového hospodářství dle zákona č. 185/2001 Sb. ve znění pozdějších předpisů,</w:t>
      </w:r>
    </w:p>
    <w:p w14:paraId="3F5848DC" w14:textId="77777777" w:rsidR="00A235B2" w:rsidRPr="00A235B2" w:rsidRDefault="00B07D6F" w:rsidP="00A235B2">
      <w:pPr>
        <w:pStyle w:val="DDnormalnivcislovani"/>
        <w:spacing w:after="0"/>
        <w:ind w:left="567" w:hanging="567"/>
        <w:rPr>
          <w:spacing w:val="-3"/>
        </w:rPr>
      </w:pPr>
      <w:r>
        <w:rPr>
          <w:spacing w:val="-3"/>
        </w:rPr>
        <w:tab/>
        <w:t>- z hlediska ochrany přírody a krajiny dle zákona č. 114/1992 Sb. ve znění pozdějších předpisů.</w:t>
      </w:r>
    </w:p>
    <w:p w14:paraId="38EFF7F7" w14:textId="77777777" w:rsidR="00A235B2" w:rsidRDefault="00A235B2" w:rsidP="00A235B2">
      <w:pPr>
        <w:pStyle w:val="Nadpis2"/>
        <w:tabs>
          <w:tab w:val="clear" w:pos="7731"/>
        </w:tabs>
        <w:ind w:left="340"/>
      </w:pPr>
      <w:r>
        <w:t>Vliv na životní prostředí:</w:t>
      </w:r>
    </w:p>
    <w:p w14:paraId="6908829D" w14:textId="77777777" w:rsidR="00B07D6F" w:rsidRDefault="00B07D6F" w:rsidP="00B07D6F">
      <w:pPr>
        <w:spacing w:line="240" w:lineRule="atLeast"/>
      </w:pPr>
      <w:r>
        <w:tab/>
        <w:t xml:space="preserve">Stavba VO nebude mít negativní vliv na přírodu a krajinu. Při realizaci této stavby bude chráněna </w:t>
      </w:r>
      <w:r w:rsidRPr="00B07D6F">
        <w:t>vzrostlá sledovaná zeleň a budou dodrženy normy ČSN 839011 - Práce s půdou, ČSN 839021 -Rostliny a jejich výsadba, ČSN 839031 - Trávníky a jejich zakládání, ČSN 839041 - Technicko-</w:t>
      </w:r>
      <w:r>
        <w:t xml:space="preserve">biologické způsoby stabilizace terénu - Stabilizace výsevy, výsadbami, konstrukcemi ze živých a </w:t>
      </w:r>
      <w:r w:rsidRPr="00B07D6F">
        <w:t>neživých materiálů a stavebních prvků, kombinované konstrukce, ČSN 839051 - Rozvojová a udržovací péče o vegetační plochy a ČSN 839061 - Ochrana stromů, porostů a vegetačních ploch při stavebních pracích.</w:t>
      </w:r>
    </w:p>
    <w:p w14:paraId="0687B09B" w14:textId="03E403E8" w:rsidR="00B07D6F" w:rsidRPr="00B07D6F" w:rsidRDefault="004D6954" w:rsidP="00577AF8">
      <w:pPr>
        <w:spacing w:line="240" w:lineRule="atLeast"/>
        <w:ind w:firstLine="567"/>
      </w:pPr>
      <w:bookmarkStart w:id="4" w:name="_Hlk519193569"/>
      <w:r>
        <w:t xml:space="preserve">V </w:t>
      </w:r>
      <w:r w:rsidR="00B07D6F" w:rsidRPr="00B07D6F">
        <w:t xml:space="preserve">případě kontaktu s kořenovými systémy přilehlých dřevin budou práce prováděny ručně. Nebudou poškozeny kořeny o průměru větším než 3cm. Kořeny budou podhrabány a kabely pod nimi protaženy, v kořenové zóně (2,5m) budou kabely uloženy do chrániček. Případná poranění kořenů bude nutno ošetřit prostředky k ošetření ran a růstovými stimulátory. Kořeny </w:t>
      </w:r>
      <w:r w:rsidR="00544EC9">
        <w:t>budou</w:t>
      </w:r>
      <w:r w:rsidR="00B07D6F" w:rsidRPr="00B07D6F">
        <w:t xml:space="preserve"> chrán</w:t>
      </w:r>
      <w:r w:rsidR="00544EC9">
        <w:t>ěny</w:t>
      </w:r>
      <w:r w:rsidR="00B07D6F" w:rsidRPr="00B07D6F">
        <w:t xml:space="preserve"> před vysycháním a před účinky mrazu</w:t>
      </w:r>
      <w:r w:rsidR="00544EC9">
        <w:t>, neboť kořeny budou odkryty po dobu max 24 hod a výkopy nebudou prováděny při teplotách nižších než 0°C.</w:t>
      </w:r>
      <w:r w:rsidR="00B07D6F" w:rsidRPr="00B07D6F">
        <w:t xml:space="preserve"> Žádné stavební materiály ani výkopky nebudou </w:t>
      </w:r>
      <w:r w:rsidR="00B07D6F">
        <w:t xml:space="preserve">skladovány v blízkosti vzrostlých dřevin v kořenové zóně. Nedojde ke zhutnění půdy, po </w:t>
      </w:r>
      <w:r w:rsidR="00B07D6F" w:rsidRPr="00B07D6F">
        <w:t>skončení prací budou zelené plochy vyčištěny, narušené povrchy budou uvedeny do původního stavu a volné plochy budou zatravněny.</w:t>
      </w:r>
      <w:bookmarkEnd w:id="4"/>
    </w:p>
    <w:bookmarkEnd w:id="2"/>
    <w:p w14:paraId="1E8EEF8B" w14:textId="77777777" w:rsidR="00934912" w:rsidRDefault="00934912" w:rsidP="00934912">
      <w:pPr>
        <w:pStyle w:val="Nadpis3"/>
      </w:pPr>
      <w:r>
        <w:t>Odpady:</w:t>
      </w:r>
    </w:p>
    <w:p w14:paraId="6C887B0A" w14:textId="77777777" w:rsidR="00934912" w:rsidRDefault="00934912" w:rsidP="00577AF8">
      <w:pPr>
        <w:ind w:firstLine="340"/>
      </w:pPr>
      <w:r w:rsidRPr="00194290">
        <w:t>Stavba VO nemá žádné požadavky na spotřeby médií a hmot, nehospodaří s dešťovou vodou a neprodukuje žádné druhy odpadů a emisí.</w:t>
      </w:r>
    </w:p>
    <w:p w14:paraId="4AE51CC7" w14:textId="77777777" w:rsidR="00934912" w:rsidRDefault="00934912" w:rsidP="00577AF8">
      <w:pPr>
        <w:ind w:firstLine="340"/>
        <w:rPr>
          <w:spacing w:val="-4"/>
          <w:w w:val="105"/>
        </w:rPr>
      </w:pPr>
      <w:r>
        <w:rPr>
          <w:w w:val="105"/>
        </w:rPr>
        <w:t xml:space="preserve">Při realizaci této stavby vznikne pouze odpad z výkopů. Část zeminy se použije na zához kabelové </w:t>
      </w:r>
      <w:r>
        <w:rPr>
          <w:spacing w:val="1"/>
          <w:w w:val="105"/>
        </w:rPr>
        <w:t xml:space="preserve">trasy a přebytek zeminy bude odvezen na skládku. Likvidaci odpadu zajistí </w:t>
      </w:r>
      <w:r w:rsidR="00004372">
        <w:rPr>
          <w:spacing w:val="-4"/>
          <w:w w:val="105"/>
        </w:rPr>
        <w:t>zhotovitel stavby</w:t>
      </w:r>
      <w:r>
        <w:rPr>
          <w:spacing w:val="-4"/>
          <w:w w:val="105"/>
        </w:rPr>
        <w:t>.</w:t>
      </w:r>
    </w:p>
    <w:p w14:paraId="528DD8BB" w14:textId="77777777" w:rsidR="00491626" w:rsidRPr="00B07D6F" w:rsidRDefault="00934912" w:rsidP="00E033D1">
      <w:pPr>
        <w:ind w:firstLine="340"/>
      </w:pPr>
      <w:r>
        <w:t>Nosný demontovaný materiál zařízení veřejného osvětlení (svítidla, svorkovnice, kabely) budou odevzdány do skladu demontovaného materiálu správce VO.</w:t>
      </w:r>
    </w:p>
    <w:bookmarkEnd w:id="3"/>
    <w:p w14:paraId="26C060FE" w14:textId="77777777" w:rsidR="00A235B2" w:rsidRDefault="00A235B2" w:rsidP="006D7480">
      <w:pPr>
        <w:pStyle w:val="Nadpis2"/>
        <w:tabs>
          <w:tab w:val="clear" w:pos="7731"/>
          <w:tab w:val="num" w:pos="360"/>
        </w:tabs>
        <w:ind w:left="340"/>
      </w:pPr>
      <w:r>
        <w:t>Dodatky, požadavky na ostatní specialisty:</w:t>
      </w:r>
    </w:p>
    <w:p w14:paraId="3D55A8B2" w14:textId="77777777" w:rsidR="006D7480" w:rsidRDefault="006D7480" w:rsidP="006D7480">
      <w:r>
        <w:t>- Prostorové uspořádání kabelových sítí musí vyhovovat ČSN 73 6005.</w:t>
      </w:r>
    </w:p>
    <w:p w14:paraId="1A3585E4" w14:textId="7B784C9C" w:rsidR="006D7480" w:rsidRDefault="006D7480" w:rsidP="00F26388">
      <w:pPr>
        <w:ind w:left="142" w:hanging="142"/>
      </w:pPr>
      <w:r>
        <w:t>- Nově položené, resp. stávající kabely se musí při vlastní stavbě ochránit proti poškození při přejíždění stavební techniky.</w:t>
      </w:r>
    </w:p>
    <w:p w14:paraId="511FEEDD" w14:textId="7D96D543" w:rsidR="00E55866" w:rsidRPr="00174621" w:rsidRDefault="00E55866" w:rsidP="00E55866">
      <w:r w:rsidRPr="00174621">
        <w:lastRenderedPageBreak/>
        <w:t>- Požadujeme dodržet předpis na umísťovaní doplňků: STANDARD pro umístění zařízení na stožáry VO v Praze</w:t>
      </w:r>
    </w:p>
    <w:p w14:paraId="48F375A5" w14:textId="360641FC" w:rsidR="00E55866" w:rsidRDefault="008D0805" w:rsidP="00E55866">
      <w:pPr>
        <w:ind w:firstLine="567"/>
      </w:pPr>
      <w:hyperlink r:id="rId12" w:history="1">
        <w:r w:rsidR="00E55866" w:rsidRPr="00174621">
          <w:rPr>
            <w:rStyle w:val="Hypertextovodkaz"/>
          </w:rPr>
          <w:t>https://thmp.cz/images/STANDARD_pro_umstn_zazen_na_story_VO_v_Praze.pdf</w:t>
        </w:r>
      </w:hyperlink>
    </w:p>
    <w:p w14:paraId="125E2B69" w14:textId="77777777" w:rsidR="00E83A89" w:rsidRDefault="0074507E" w:rsidP="00E83A89">
      <w:pPr>
        <w:pStyle w:val="Zkladntextodsazen3"/>
        <w:ind w:left="142" w:hanging="142"/>
        <w:jc w:val="left"/>
      </w:pPr>
      <w:r>
        <w:t xml:space="preserve">- Před započetím výkopových prací je </w:t>
      </w:r>
      <w:r w:rsidRPr="00DD0B6C">
        <w:rPr>
          <w:b/>
          <w:bCs w:val="0"/>
        </w:rPr>
        <w:t>nutné si nechat od jednotlivých správců podzemních síti vytýčit jejich zařízení.</w:t>
      </w:r>
      <w:r>
        <w:t xml:space="preserve"> Podzemní sítě ve výkrese jsou zakresleny pouze orientačně dle dostupných podkladů správců sítí. Jejich polohu zhotovitel ověří výkopovými sondami.</w:t>
      </w:r>
    </w:p>
    <w:p w14:paraId="527F425D" w14:textId="7A1EDE77" w:rsidR="00AF58E6" w:rsidRDefault="00E83A89" w:rsidP="002F514E">
      <w:pPr>
        <w:pStyle w:val="Zkladntextodsazen3"/>
        <w:ind w:left="142" w:hanging="142"/>
        <w:jc w:val="left"/>
      </w:pPr>
      <w:r>
        <w:t xml:space="preserve">- Při návrhu výsadby zeleně (dřevin) v souvislosti s růstem koruny stromů a následného </w:t>
      </w:r>
      <w:r>
        <w:rPr>
          <w:b/>
          <w:bCs w:val="0"/>
        </w:rPr>
        <w:t xml:space="preserve">nepřípustného </w:t>
      </w:r>
      <w:r>
        <w:t xml:space="preserve">zastínění svítidla je třeba zohlednit umístění stožárů (resp. základů) a proto se </w:t>
      </w:r>
      <w:r w:rsidR="004A0A2C">
        <w:t xml:space="preserve">nové </w:t>
      </w:r>
      <w:r>
        <w:t xml:space="preserve">stromy umístí ve vzdálenosti cca. </w:t>
      </w:r>
      <w:r w:rsidR="00544EC9">
        <w:t>3</w:t>
      </w:r>
      <w:r>
        <w:t>m od stožárů. Kabely VO poblíž stromů se uloží do chrániček.</w:t>
      </w:r>
    </w:p>
    <w:p w14:paraId="3598C4CD" w14:textId="77777777" w:rsidR="001E2590" w:rsidRPr="00DF3F50" w:rsidRDefault="00A235B2" w:rsidP="006F63E1">
      <w:pPr>
        <w:pStyle w:val="Nadpis2"/>
        <w:tabs>
          <w:tab w:val="clear" w:pos="7731"/>
          <w:tab w:val="num" w:pos="360"/>
        </w:tabs>
        <w:ind w:left="340"/>
      </w:pPr>
      <w:r>
        <w:t>Bezpečnost práce:</w:t>
      </w:r>
    </w:p>
    <w:p w14:paraId="40C2CD94" w14:textId="77777777" w:rsidR="00357680" w:rsidRPr="008D76A4" w:rsidRDefault="00B9679B" w:rsidP="008D76A4">
      <w:pPr>
        <w:ind w:left="340" w:firstLine="227"/>
      </w:pPr>
      <w:bookmarkStart w:id="5" w:name="_Hlk32397020"/>
      <w:r>
        <w:t xml:space="preserve">Elektroinstalační práce musí provádět odborná firma mající zkušenosti se pracemi obdobného charakteru. Jednotliví pracovníci musí být prokazatelně řádně proškoleni z hlediska bezpečnosti práce. Při montážních pracích je nutné mimo jiné dodržovat následující platné zákonné předpisy a normy v platném znění: </w:t>
      </w:r>
      <w:bookmarkEnd w:id="5"/>
    </w:p>
    <w:p w14:paraId="0C559031" w14:textId="77777777" w:rsidR="00034427" w:rsidRPr="003318BE" w:rsidRDefault="00034427" w:rsidP="003318BE">
      <w:pPr>
        <w:spacing w:before="0" w:line="240" w:lineRule="auto"/>
        <w:jc w:val="left"/>
      </w:pPr>
    </w:p>
    <w:p w14:paraId="49897115" w14:textId="77777777" w:rsidR="006F63E1" w:rsidRPr="006C3735" w:rsidRDefault="006F63E1" w:rsidP="006F63E1">
      <w:pPr>
        <w:pStyle w:val="Odstavce"/>
        <w:numPr>
          <w:ilvl w:val="0"/>
          <w:numId w:val="33"/>
        </w:numPr>
        <w:rPr>
          <w:sz w:val="22"/>
          <w:szCs w:val="22"/>
        </w:rPr>
      </w:pPr>
      <w:r w:rsidRPr="006C3735">
        <w:rPr>
          <w:sz w:val="22"/>
          <w:szCs w:val="22"/>
        </w:rPr>
        <w:t>Zákoník práce – zákon č. 65/1965 Sb., (úplné znění zákon č. 126/1994 Sb.), ve znění zákona č. 118/1995 Sb., nálezu Ústavního soudu ČR č. 164/1995 Sb., zákona č. 287/1995 Sb. A zákona č. 138/1996 Sb.</w:t>
      </w:r>
    </w:p>
    <w:p w14:paraId="38C3FED5" w14:textId="77777777" w:rsidR="006F63E1" w:rsidRPr="006C3735" w:rsidRDefault="006F63E1" w:rsidP="006F63E1">
      <w:pPr>
        <w:pStyle w:val="Odstavce"/>
        <w:numPr>
          <w:ilvl w:val="0"/>
          <w:numId w:val="33"/>
        </w:numPr>
        <w:rPr>
          <w:sz w:val="22"/>
          <w:szCs w:val="22"/>
        </w:rPr>
      </w:pPr>
      <w:r w:rsidRPr="006C3735">
        <w:rPr>
          <w:sz w:val="22"/>
          <w:szCs w:val="22"/>
        </w:rPr>
        <w:t>Nařízení vlády č. 108/1994 Sb., kterým se provádí zákoník práce a některé další zákony</w:t>
      </w:r>
    </w:p>
    <w:p w14:paraId="521400CD" w14:textId="77777777" w:rsidR="006F63E1" w:rsidRPr="006C3735" w:rsidRDefault="006F63E1" w:rsidP="006F63E1">
      <w:pPr>
        <w:pStyle w:val="Odstavce"/>
        <w:numPr>
          <w:ilvl w:val="0"/>
          <w:numId w:val="33"/>
        </w:numPr>
        <w:rPr>
          <w:sz w:val="22"/>
          <w:szCs w:val="22"/>
        </w:rPr>
      </w:pPr>
      <w:r w:rsidRPr="006C3735">
        <w:rPr>
          <w:sz w:val="22"/>
          <w:szCs w:val="22"/>
        </w:rPr>
        <w:t>Zákon č. 174/1968 Sb., o státním odborném dozoru nad bezpečností práce, ve znění zákona č. 575/1990 Sb., zák. č. 159/1992 Sb., zák. č. 47/1994 Sb.</w:t>
      </w:r>
    </w:p>
    <w:p w14:paraId="646FA6FD" w14:textId="77777777" w:rsidR="006F63E1" w:rsidRPr="006C3735" w:rsidRDefault="006F63E1" w:rsidP="006F63E1">
      <w:pPr>
        <w:pStyle w:val="Odstavce"/>
        <w:numPr>
          <w:ilvl w:val="0"/>
          <w:numId w:val="33"/>
        </w:numPr>
        <w:rPr>
          <w:sz w:val="22"/>
          <w:szCs w:val="22"/>
        </w:rPr>
      </w:pPr>
      <w:r w:rsidRPr="006C3735">
        <w:rPr>
          <w:sz w:val="22"/>
          <w:szCs w:val="22"/>
        </w:rPr>
        <w:t xml:space="preserve">Vyhláška ČÚBP a ČBÚ č. 110/1975 sb., o evidenci a registraci pracovních úrazů a o hlášení provozních nehod (havárií) a poruch technických zařízení, doplněná </w:t>
      </w:r>
      <w:proofErr w:type="spellStart"/>
      <w:r w:rsidRPr="006C3735">
        <w:rPr>
          <w:sz w:val="22"/>
          <w:szCs w:val="22"/>
        </w:rPr>
        <w:t>vyhl</w:t>
      </w:r>
      <w:proofErr w:type="spellEnd"/>
      <w:r w:rsidRPr="006C3735">
        <w:rPr>
          <w:sz w:val="22"/>
          <w:szCs w:val="22"/>
        </w:rPr>
        <w:t>. Č.274/1990 Sb.</w:t>
      </w:r>
    </w:p>
    <w:p w14:paraId="2A66350B" w14:textId="77777777" w:rsidR="00195E9E" w:rsidRDefault="006F63E1" w:rsidP="00834642">
      <w:pPr>
        <w:ind w:firstLine="340"/>
        <w:rPr>
          <w:szCs w:val="22"/>
        </w:rPr>
      </w:pPr>
      <w:r w:rsidRPr="006F63E1">
        <w:rPr>
          <w:szCs w:val="22"/>
        </w:rPr>
        <w:t>Dále bude vhodným konstrukčním a dispozičním řešením v průběhu stavební přípravy (umístění rozvaděčů, umístění kabelových tras, ochrana kabelů před poškozením atd.) eliminováno na minimum nebezpečí úrazu elektrickým proudem při provozu.</w:t>
      </w:r>
    </w:p>
    <w:p w14:paraId="2E0DA783" w14:textId="77777777" w:rsidR="006F63E1" w:rsidRDefault="006F63E1" w:rsidP="006F63E1">
      <w:pPr>
        <w:pStyle w:val="Nadpis2"/>
        <w:tabs>
          <w:tab w:val="clear" w:pos="7731"/>
          <w:tab w:val="num" w:pos="360"/>
        </w:tabs>
        <w:ind w:left="340"/>
      </w:pPr>
      <w:r>
        <w:t>Seznam technických norem:</w:t>
      </w:r>
    </w:p>
    <w:p w14:paraId="5CE00F20" w14:textId="77777777" w:rsidR="00577AF8" w:rsidRDefault="00577AF8" w:rsidP="008D76A4">
      <w:pPr>
        <w:ind w:firstLine="340"/>
        <w:rPr>
          <w:szCs w:val="22"/>
        </w:rPr>
      </w:pPr>
      <w:r>
        <w:rPr>
          <w:szCs w:val="22"/>
        </w:rPr>
        <w:t>Níže je uveden základní seznam norem v platném znění</w:t>
      </w:r>
      <w:r w:rsidRPr="006F63E1">
        <w:rPr>
          <w:szCs w:val="22"/>
        </w:rPr>
        <w:t>.</w:t>
      </w:r>
      <w:r>
        <w:rPr>
          <w:szCs w:val="22"/>
        </w:rPr>
        <w:t xml:space="preserve"> Normy, které nejsou v tomto seznamu uvedeny, jsou respektovány.</w:t>
      </w:r>
    </w:p>
    <w:p w14:paraId="1AB123DB" w14:textId="77777777" w:rsidR="00577AF8" w:rsidRP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0340 – Ochranné kryty elektrických zařízení a předmětů</w:t>
      </w:r>
    </w:p>
    <w:p w14:paraId="18B94B3F" w14:textId="77777777" w:rsid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1310 – Bezpečnostní předpisy pro el. zařízení určená k užívání osobami bez el. Kvalifikace</w:t>
      </w:r>
    </w:p>
    <w:p w14:paraId="17887CB1" w14:textId="77777777" w:rsidR="00577AF8" w:rsidRP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 xml:space="preserve">ČSN 33 </w:t>
      </w:r>
      <w:r>
        <w:rPr>
          <w:sz w:val="20"/>
        </w:rPr>
        <w:t>1500</w:t>
      </w:r>
      <w:r w:rsidRPr="00577AF8">
        <w:rPr>
          <w:sz w:val="20"/>
        </w:rPr>
        <w:t xml:space="preserve"> – </w:t>
      </w:r>
      <w:r>
        <w:rPr>
          <w:sz w:val="20"/>
        </w:rPr>
        <w:t>Revize elektrických zařízení</w:t>
      </w:r>
    </w:p>
    <w:p w14:paraId="6A244CBE" w14:textId="77777777" w:rsid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 xml:space="preserve">ČSN 33 </w:t>
      </w:r>
      <w:r>
        <w:rPr>
          <w:sz w:val="20"/>
        </w:rPr>
        <w:t>2000</w:t>
      </w:r>
      <w:r w:rsidRPr="00577AF8">
        <w:rPr>
          <w:sz w:val="20"/>
        </w:rPr>
        <w:t xml:space="preserve"> – </w:t>
      </w:r>
      <w:r>
        <w:rPr>
          <w:sz w:val="20"/>
        </w:rPr>
        <w:t>Soubor norem – Elektrotechnické předpisy, elektrická zařízení</w:t>
      </w:r>
    </w:p>
    <w:p w14:paraId="0DA108F1" w14:textId="77777777" w:rsid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 xml:space="preserve">ČSN 33 </w:t>
      </w:r>
      <w:r>
        <w:rPr>
          <w:sz w:val="20"/>
        </w:rPr>
        <w:t>2040</w:t>
      </w:r>
      <w:r w:rsidRPr="00577AF8">
        <w:rPr>
          <w:sz w:val="20"/>
        </w:rPr>
        <w:t xml:space="preserve"> – </w:t>
      </w:r>
      <w:r>
        <w:rPr>
          <w:sz w:val="20"/>
        </w:rPr>
        <w:t>Ochrana před účinky elektromagnetického pole 50 Hz v pásmu vlivu elektrizační soustavy</w:t>
      </w:r>
    </w:p>
    <w:p w14:paraId="75E0B8F3" w14:textId="77777777" w:rsidR="00577AF8" w:rsidRP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2180 – Připojování elektrických přístrojů a spotřebičů</w:t>
      </w:r>
    </w:p>
    <w:p w14:paraId="49243358" w14:textId="77777777" w:rsid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23xx - Předpisy pro elektrická zařízení v různých prostředích</w:t>
      </w:r>
    </w:p>
    <w:p w14:paraId="0CD2948F" w14:textId="77777777" w:rsidR="00577AF8" w:rsidRP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3060 - Ochrana elektrických zařízení před přepětím</w:t>
      </w:r>
    </w:p>
    <w:p w14:paraId="0599E069" w14:textId="77777777" w:rsidR="00577AF8" w:rsidRPr="00577AF8" w:rsidRDefault="00577AF8" w:rsidP="00577AF8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577AF8">
        <w:rPr>
          <w:sz w:val="20"/>
        </w:rPr>
        <w:t>ČSN 33 3210 – Rozvodná zařízení</w:t>
      </w:r>
    </w:p>
    <w:p w14:paraId="7B42C0EE" w14:textId="77777777" w:rsidR="00B8159C" w:rsidRPr="00B8159C" w:rsidRDefault="00B8159C" w:rsidP="00B8159C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B8159C">
        <w:rPr>
          <w:sz w:val="20"/>
        </w:rPr>
        <w:t>ČSN 34 1050 - Předpisy pro kladení silových elektrických vedení</w:t>
      </w:r>
    </w:p>
    <w:p w14:paraId="4AF071C8" w14:textId="77777777" w:rsidR="00B8159C" w:rsidRPr="00B8159C" w:rsidRDefault="00B8159C" w:rsidP="00B8159C">
      <w:pPr>
        <w:pStyle w:val="Text12"/>
        <w:spacing w:before="0" w:line="240" w:lineRule="auto"/>
        <w:ind w:firstLine="0"/>
        <w:rPr>
          <w:sz w:val="20"/>
        </w:rPr>
      </w:pPr>
      <w:r w:rsidRPr="00B8159C">
        <w:rPr>
          <w:sz w:val="20"/>
        </w:rPr>
        <w:t>ČSN 34 1390 - Předpisy pro ochranu před bleskem</w:t>
      </w:r>
    </w:p>
    <w:p w14:paraId="0549E14C" w14:textId="77777777" w:rsidR="00B8159C" w:rsidRPr="00B8159C" w:rsidRDefault="00B8159C" w:rsidP="00B8159C">
      <w:pPr>
        <w:pStyle w:val="Text12"/>
        <w:spacing w:before="0" w:line="240" w:lineRule="auto"/>
        <w:ind w:left="1701" w:hanging="1701"/>
        <w:jc w:val="left"/>
        <w:rPr>
          <w:sz w:val="20"/>
        </w:rPr>
      </w:pPr>
      <w:r w:rsidRPr="00B8159C">
        <w:rPr>
          <w:sz w:val="20"/>
        </w:rPr>
        <w:t>ČSN 34 31xx - Bezpečnostní předpisy pro obsluhu a práci na el. zařízení</w:t>
      </w:r>
    </w:p>
    <w:p w14:paraId="7E54D9B4" w14:textId="77777777" w:rsidR="00B8159C" w:rsidRPr="006F63E1" w:rsidRDefault="00B8159C" w:rsidP="00B8159C">
      <w:pPr>
        <w:spacing w:before="0" w:line="240" w:lineRule="auto"/>
        <w:rPr>
          <w:b/>
          <w:sz w:val="20"/>
          <w:highlight w:val="yellow"/>
        </w:rPr>
      </w:pPr>
    </w:p>
    <w:p w14:paraId="1830B7F8" w14:textId="77777777" w:rsidR="00B8159C" w:rsidRPr="00B8159C" w:rsidRDefault="00B8159C" w:rsidP="00B8159C">
      <w:pPr>
        <w:spacing w:before="0" w:line="240" w:lineRule="auto"/>
        <w:ind w:firstLine="1"/>
        <w:rPr>
          <w:sz w:val="20"/>
        </w:rPr>
      </w:pPr>
      <w:r w:rsidRPr="00B8159C">
        <w:rPr>
          <w:sz w:val="20"/>
        </w:rPr>
        <w:lastRenderedPageBreak/>
        <w:t>ČSN EN 13201 Veřejné osvětlení</w:t>
      </w:r>
    </w:p>
    <w:p w14:paraId="200E5606" w14:textId="77777777" w:rsidR="00B8159C" w:rsidRDefault="00B8159C" w:rsidP="00B8159C">
      <w:pPr>
        <w:spacing w:before="0" w:line="240" w:lineRule="auto"/>
        <w:ind w:firstLine="1"/>
        <w:rPr>
          <w:sz w:val="20"/>
        </w:rPr>
      </w:pPr>
      <w:r w:rsidRPr="00B8159C">
        <w:rPr>
          <w:sz w:val="20"/>
        </w:rPr>
        <w:t>ČSN 73 6005 – Prostorové uspořádání kabelových sítí</w:t>
      </w:r>
    </w:p>
    <w:p w14:paraId="7F681E9A" w14:textId="77777777" w:rsidR="00AF58E6" w:rsidRPr="00577AF8" w:rsidRDefault="00AF58E6" w:rsidP="008D76A4">
      <w:pPr>
        <w:pStyle w:val="Text12"/>
        <w:spacing w:before="0" w:line="240" w:lineRule="auto"/>
        <w:ind w:firstLine="0"/>
        <w:jc w:val="left"/>
        <w:rPr>
          <w:sz w:val="20"/>
        </w:rPr>
      </w:pPr>
    </w:p>
    <w:p w14:paraId="3B56495A" w14:textId="77777777" w:rsidR="00577AF8" w:rsidRPr="00E926C4" w:rsidRDefault="00B8159C" w:rsidP="00E926C4">
      <w:pPr>
        <w:pStyle w:val="Nadpis2"/>
        <w:tabs>
          <w:tab w:val="clear" w:pos="7731"/>
          <w:tab w:val="num" w:pos="360"/>
        </w:tabs>
        <w:ind w:left="340"/>
      </w:pPr>
      <w:r>
        <w:t>Závěr:</w:t>
      </w:r>
    </w:p>
    <w:p w14:paraId="7848C940" w14:textId="77777777" w:rsidR="00B8159C" w:rsidRDefault="00D535DA" w:rsidP="00B8159C">
      <w:pPr>
        <w:ind w:firstLine="340"/>
        <w:rPr>
          <w:szCs w:val="22"/>
        </w:rPr>
      </w:pPr>
      <w:r>
        <w:rPr>
          <w:szCs w:val="22"/>
        </w:rPr>
        <w:t>P</w:t>
      </w:r>
      <w:r w:rsidR="00B8159C">
        <w:rPr>
          <w:szCs w:val="22"/>
        </w:rPr>
        <w:t>ři stavbě je povoleno použit výrobky splňující požadavky ČSN a souvisejících norem, předpisů a je možné u nich dokladovat osvědčení o sch</w:t>
      </w:r>
      <w:r w:rsidR="007E3BEF">
        <w:rPr>
          <w:szCs w:val="22"/>
        </w:rPr>
        <w:t>v</w:t>
      </w:r>
      <w:r w:rsidR="00B8159C">
        <w:rPr>
          <w:szCs w:val="22"/>
        </w:rPr>
        <w:t>álení k provozu v České republice.</w:t>
      </w:r>
    </w:p>
    <w:p w14:paraId="1B5D8800" w14:textId="77777777" w:rsidR="00B8159C" w:rsidRDefault="00B8159C" w:rsidP="00B8159C">
      <w:pPr>
        <w:ind w:firstLine="340"/>
        <w:rPr>
          <w:szCs w:val="22"/>
        </w:rPr>
      </w:pPr>
      <w:r>
        <w:rPr>
          <w:szCs w:val="22"/>
        </w:rPr>
        <w:t>V průběhu provádění prací budou respektovány všechny příslušné platné normy, předpisy a požadavky BOZP. Náklady vyplývající z jejich dodržení jsou souč</w:t>
      </w:r>
      <w:r w:rsidR="007E3BEF">
        <w:rPr>
          <w:szCs w:val="22"/>
        </w:rPr>
        <w:t>á</w:t>
      </w:r>
      <w:r>
        <w:rPr>
          <w:szCs w:val="22"/>
        </w:rPr>
        <w:t>stí ceny a nebudou zvláš</w:t>
      </w:r>
      <w:r w:rsidR="007E3BEF">
        <w:rPr>
          <w:szCs w:val="22"/>
        </w:rPr>
        <w:t>tě</w:t>
      </w:r>
      <w:r>
        <w:rPr>
          <w:szCs w:val="22"/>
        </w:rPr>
        <w:t xml:space="preserve"> hrazeny.</w:t>
      </w:r>
    </w:p>
    <w:p w14:paraId="6E372344" w14:textId="77777777" w:rsidR="00B8159C" w:rsidRDefault="00B8159C" w:rsidP="00B8159C">
      <w:pPr>
        <w:ind w:firstLine="340"/>
        <w:rPr>
          <w:szCs w:val="22"/>
        </w:rPr>
      </w:pPr>
      <w:r>
        <w:rPr>
          <w:szCs w:val="22"/>
        </w:rPr>
        <w:t>Veškeré práce budou provedeny úhledně, řádně a kvalitně řemeslným způsobem.</w:t>
      </w:r>
    </w:p>
    <w:p w14:paraId="5450DB8B" w14:textId="77777777" w:rsidR="008D76A4" w:rsidRDefault="008D76A4" w:rsidP="00B8159C">
      <w:pPr>
        <w:ind w:firstLine="340"/>
        <w:rPr>
          <w:szCs w:val="22"/>
        </w:rPr>
      </w:pPr>
      <w:r>
        <w:rPr>
          <w:szCs w:val="22"/>
        </w:rPr>
        <w:t xml:space="preserve">Před započetím výkopových prací je </w:t>
      </w:r>
      <w:r w:rsidRPr="008D76A4">
        <w:rPr>
          <w:b/>
          <w:bCs/>
          <w:szCs w:val="22"/>
        </w:rPr>
        <w:t>nutné si nechat od jednotlivých správců podzemních síti vytýčit jejich zařízení</w:t>
      </w:r>
      <w:r>
        <w:rPr>
          <w:szCs w:val="22"/>
        </w:rPr>
        <w:t>. Podzemní sítě ve výkrese jsou zakresleny pouze orientačně dle dostupných podkladů správců sítí. Jejich polohu zhotovitel ověří výkopovými sondami.</w:t>
      </w:r>
    </w:p>
    <w:p w14:paraId="3D033671" w14:textId="77777777" w:rsidR="006F63E1" w:rsidRPr="006F63E1" w:rsidRDefault="006F63E1" w:rsidP="00034427">
      <w:pPr>
        <w:ind w:firstLine="1"/>
        <w:rPr>
          <w:b/>
          <w:szCs w:val="22"/>
        </w:rPr>
      </w:pPr>
    </w:p>
    <w:p w14:paraId="3F4C69D0" w14:textId="77777777" w:rsidR="00034427" w:rsidRDefault="00034427" w:rsidP="00C4719B">
      <w:pPr>
        <w:tabs>
          <w:tab w:val="left" w:pos="4536"/>
        </w:tabs>
        <w:spacing w:before="0" w:line="240" w:lineRule="auto"/>
        <w:ind w:firstLine="1"/>
      </w:pPr>
      <w:r>
        <w:rPr>
          <w:b/>
        </w:rPr>
        <w:tab/>
      </w:r>
      <w:r>
        <w:t xml:space="preserve">vypracoval : </w:t>
      </w:r>
      <w:r>
        <w:tab/>
      </w:r>
      <w:r w:rsidR="00B16C05">
        <w:t xml:space="preserve">Ing. </w:t>
      </w:r>
      <w:r w:rsidR="0087429C">
        <w:t>Matúš Sučík</w:t>
      </w:r>
      <w:r>
        <w:t xml:space="preserve"> </w:t>
      </w:r>
    </w:p>
    <w:p w14:paraId="6A3AF455" w14:textId="56E7DDBA" w:rsidR="00AF58E6" w:rsidRDefault="00034427" w:rsidP="00E55866">
      <w:pPr>
        <w:tabs>
          <w:tab w:val="left" w:pos="5670"/>
        </w:tabs>
        <w:spacing w:before="0" w:line="240" w:lineRule="auto"/>
        <w:ind w:firstLine="1"/>
      </w:pPr>
      <w:r>
        <w:tab/>
      </w:r>
      <w:r>
        <w:tab/>
      </w:r>
      <w:r>
        <w:tab/>
      </w:r>
      <w:r w:rsidR="00DB10D3">
        <w:t>1</w:t>
      </w:r>
      <w:r w:rsidR="00B92A0A">
        <w:t>0</w:t>
      </w:r>
      <w:r w:rsidR="0087429C">
        <w:t>/</w:t>
      </w:r>
      <w:r>
        <w:t>20</w:t>
      </w:r>
      <w:r w:rsidR="0087429C">
        <w:t>2</w:t>
      </w:r>
      <w:r w:rsidR="00371CFB">
        <w:t>1</w:t>
      </w:r>
    </w:p>
    <w:p w14:paraId="4002779D" w14:textId="6D17AB26" w:rsidR="00E55866" w:rsidRDefault="00E55866" w:rsidP="00E55866">
      <w:pPr>
        <w:tabs>
          <w:tab w:val="left" w:pos="5670"/>
        </w:tabs>
        <w:spacing w:before="0" w:line="240" w:lineRule="auto"/>
        <w:ind w:firstLine="1"/>
      </w:pPr>
    </w:p>
    <w:p w14:paraId="400DC94A" w14:textId="6BEFF8B7" w:rsidR="005569F2" w:rsidRDefault="005569F2" w:rsidP="00E55866">
      <w:pPr>
        <w:tabs>
          <w:tab w:val="left" w:pos="5670"/>
        </w:tabs>
        <w:spacing w:before="0" w:line="240" w:lineRule="auto"/>
        <w:ind w:firstLine="1"/>
      </w:pPr>
    </w:p>
    <w:p w14:paraId="702586B4" w14:textId="6AAD9BE7" w:rsidR="005569F2" w:rsidRDefault="005569F2" w:rsidP="00E55866">
      <w:pPr>
        <w:tabs>
          <w:tab w:val="left" w:pos="5670"/>
        </w:tabs>
        <w:spacing w:before="0" w:line="240" w:lineRule="auto"/>
        <w:ind w:firstLine="1"/>
      </w:pPr>
    </w:p>
    <w:p w14:paraId="19B16ED9" w14:textId="34E774FD" w:rsidR="00D27A74" w:rsidRDefault="00BE291B" w:rsidP="00E55866">
      <w:pPr>
        <w:tabs>
          <w:tab w:val="left" w:pos="5670"/>
        </w:tabs>
        <w:spacing w:before="0" w:line="240" w:lineRule="auto"/>
        <w:ind w:firstLine="1"/>
      </w:pPr>
      <w:r>
        <w:t>Technická specifikace svítidla VO:</w:t>
      </w:r>
    </w:p>
    <w:p w14:paraId="5162552B" w14:textId="446A4350" w:rsidR="00BE291B" w:rsidRDefault="00BE291B" w:rsidP="00E55866">
      <w:pPr>
        <w:tabs>
          <w:tab w:val="left" w:pos="5670"/>
        </w:tabs>
        <w:spacing w:before="0" w:line="240" w:lineRule="auto"/>
        <w:ind w:firstLine="1"/>
      </w:pPr>
    </w:p>
    <w:p w14:paraId="3BA53518" w14:textId="4BF2BC2D" w:rsidR="00BE291B" w:rsidRDefault="00BE291B" w:rsidP="00E55866">
      <w:pPr>
        <w:tabs>
          <w:tab w:val="left" w:pos="5670"/>
        </w:tabs>
        <w:spacing w:before="0" w:line="240" w:lineRule="auto"/>
        <w:ind w:firstLine="1"/>
      </w:pPr>
    </w:p>
    <w:p w14:paraId="382A6AA6" w14:textId="4E4A45E2" w:rsidR="00BE291B" w:rsidRDefault="00BE291B" w:rsidP="00E55866">
      <w:pPr>
        <w:tabs>
          <w:tab w:val="left" w:pos="5670"/>
        </w:tabs>
        <w:spacing w:before="0" w:line="240" w:lineRule="auto"/>
        <w:ind w:firstLine="1"/>
      </w:pPr>
      <w:r>
        <w:rPr>
          <w:noProof/>
        </w:rPr>
        <w:drawing>
          <wp:inline distT="0" distB="0" distL="0" distR="0" wp14:anchorId="2D5119C6" wp14:editId="39F8D737">
            <wp:extent cx="3152775" cy="22921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343" cy="23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7D84E" w14:textId="184EDB64" w:rsidR="00BE291B" w:rsidRDefault="00BE291B" w:rsidP="00E55866">
      <w:pPr>
        <w:tabs>
          <w:tab w:val="left" w:pos="5670"/>
        </w:tabs>
        <w:spacing w:before="0" w:line="240" w:lineRule="auto"/>
        <w:ind w:firstLine="1"/>
      </w:pPr>
      <w:r>
        <w:rPr>
          <w:noProof/>
        </w:rPr>
        <w:lastRenderedPageBreak/>
        <w:drawing>
          <wp:inline distT="0" distB="0" distL="0" distR="0" wp14:anchorId="4C0C5772" wp14:editId="3CDA58A4">
            <wp:extent cx="4701964" cy="2671762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005" cy="268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349E5" w14:textId="4476A35E" w:rsidR="00BE291B" w:rsidRDefault="00BE291B" w:rsidP="00E55866">
      <w:pPr>
        <w:tabs>
          <w:tab w:val="left" w:pos="5670"/>
        </w:tabs>
        <w:spacing w:before="0" w:line="240" w:lineRule="auto"/>
        <w:ind w:firstLine="1"/>
      </w:pPr>
    </w:p>
    <w:p w14:paraId="16662A70" w14:textId="77777777" w:rsidR="00BE291B" w:rsidRDefault="00BE291B" w:rsidP="00E55866">
      <w:pPr>
        <w:tabs>
          <w:tab w:val="left" w:pos="5670"/>
        </w:tabs>
        <w:spacing w:before="0" w:line="240" w:lineRule="auto"/>
        <w:ind w:firstLine="1"/>
      </w:pPr>
    </w:p>
    <w:p w14:paraId="3A29D7C0" w14:textId="1A653838" w:rsidR="00BE291B" w:rsidRDefault="00BE291B" w:rsidP="00E55866">
      <w:pPr>
        <w:tabs>
          <w:tab w:val="left" w:pos="5670"/>
        </w:tabs>
        <w:spacing w:before="0" w:line="240" w:lineRule="auto"/>
        <w:ind w:firstLine="1"/>
      </w:pPr>
      <w:r>
        <w:rPr>
          <w:noProof/>
        </w:rPr>
        <w:drawing>
          <wp:inline distT="0" distB="0" distL="0" distR="0" wp14:anchorId="490E2281" wp14:editId="7BC50713">
            <wp:extent cx="5248275" cy="57721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C4FCC" w14:textId="46F6495B" w:rsidR="0024454C" w:rsidRPr="00D27A74" w:rsidRDefault="005930A9" w:rsidP="00D27A74">
      <w:pPr>
        <w:pStyle w:val="Nadpis1"/>
      </w:pPr>
      <w:r>
        <w:lastRenderedPageBreak/>
        <w:tab/>
      </w:r>
      <w:r w:rsidR="00D27A74">
        <w:rPr>
          <w:noProof/>
        </w:rPr>
        <w:drawing>
          <wp:inline distT="0" distB="0" distL="0" distR="0" wp14:anchorId="6E605BB8" wp14:editId="3FDA40AD">
            <wp:extent cx="6120765" cy="83451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34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454C" w:rsidRPr="00D27A74" w:rsidSect="00C65A7F">
      <w:headerReference w:type="default" r:id="rId17"/>
      <w:footerReference w:type="default" r:id="rId18"/>
      <w:pgSz w:w="11906" w:h="16838"/>
      <w:pgMar w:top="1418" w:right="1133" w:bottom="1418" w:left="1134" w:header="426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03B9D" w14:textId="77777777" w:rsidR="008D0805" w:rsidRDefault="008D0805" w:rsidP="00FA5AA9">
      <w:pPr>
        <w:spacing w:before="0" w:line="240" w:lineRule="auto"/>
      </w:pPr>
      <w:r>
        <w:separator/>
      </w:r>
    </w:p>
  </w:endnote>
  <w:endnote w:type="continuationSeparator" w:id="0">
    <w:p w14:paraId="0187C8DC" w14:textId="77777777" w:rsidR="008D0805" w:rsidRDefault="008D0805" w:rsidP="00FA5AA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DFE4" w14:textId="77777777" w:rsidR="00FA5AA9" w:rsidRPr="00FA5AA9" w:rsidRDefault="00FA5AA9">
    <w:pPr>
      <w:pStyle w:val="Zpat"/>
      <w:jc w:val="center"/>
      <w:rPr>
        <w:sz w:val="20"/>
      </w:rPr>
    </w:pPr>
    <w:r w:rsidRPr="00FA5AA9">
      <w:rPr>
        <w:sz w:val="20"/>
      </w:rPr>
      <w:t>Str</w:t>
    </w:r>
    <w:r>
      <w:rPr>
        <w:sz w:val="20"/>
      </w:rPr>
      <w:t>a</w:t>
    </w:r>
    <w:r w:rsidRPr="00FA5AA9">
      <w:rPr>
        <w:sz w:val="20"/>
      </w:rPr>
      <w:t xml:space="preserve">na </w:t>
    </w:r>
    <w:r w:rsidR="00C93670" w:rsidRPr="00FA5AA9">
      <w:rPr>
        <w:bCs/>
        <w:sz w:val="20"/>
      </w:rPr>
      <w:fldChar w:fldCharType="begin"/>
    </w:r>
    <w:r w:rsidRPr="00FA5AA9">
      <w:rPr>
        <w:bCs/>
        <w:sz w:val="20"/>
      </w:rPr>
      <w:instrText>PAGE</w:instrText>
    </w:r>
    <w:r w:rsidR="00C93670" w:rsidRPr="00FA5AA9">
      <w:rPr>
        <w:bCs/>
        <w:sz w:val="20"/>
      </w:rPr>
      <w:fldChar w:fldCharType="separate"/>
    </w:r>
    <w:r w:rsidR="00BC1A14">
      <w:rPr>
        <w:bCs/>
        <w:noProof/>
        <w:sz w:val="20"/>
      </w:rPr>
      <w:t>3</w:t>
    </w:r>
    <w:r w:rsidR="00C93670" w:rsidRPr="00FA5AA9">
      <w:rPr>
        <w:bCs/>
        <w:sz w:val="20"/>
      </w:rPr>
      <w:fldChar w:fldCharType="end"/>
    </w:r>
  </w:p>
  <w:p w14:paraId="3150EF3E" w14:textId="77777777" w:rsidR="00FA5AA9" w:rsidRDefault="00FA5A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1C41" w14:textId="77777777" w:rsidR="008D0805" w:rsidRDefault="008D0805" w:rsidP="00FA5AA9">
      <w:pPr>
        <w:spacing w:before="0" w:line="240" w:lineRule="auto"/>
      </w:pPr>
      <w:r>
        <w:separator/>
      </w:r>
    </w:p>
  </w:footnote>
  <w:footnote w:type="continuationSeparator" w:id="0">
    <w:p w14:paraId="705158A2" w14:textId="77777777" w:rsidR="008D0805" w:rsidRDefault="008D0805" w:rsidP="00FA5AA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31A52" w14:textId="60D7BD43" w:rsidR="007E3312" w:rsidRPr="007E3312" w:rsidRDefault="0002537A" w:rsidP="007E3312">
    <w:pPr>
      <w:spacing w:before="0" w:line="240" w:lineRule="auto"/>
      <w:rPr>
        <w:b/>
        <w:bCs/>
        <w:sz w:val="20"/>
      </w:rPr>
    </w:pPr>
    <w:proofErr w:type="gramStart"/>
    <w:r>
      <w:rPr>
        <w:sz w:val="20"/>
      </w:rPr>
      <w:t>P</w:t>
    </w:r>
    <w:r w:rsidR="00B63024" w:rsidRPr="00836F1D">
      <w:rPr>
        <w:sz w:val="20"/>
      </w:rPr>
      <w:t>rojekt:</w:t>
    </w:r>
    <w:r w:rsidR="007E3312">
      <w:rPr>
        <w:sz w:val="20"/>
      </w:rPr>
      <w:t xml:space="preserve">   </w:t>
    </w:r>
    <w:proofErr w:type="gramEnd"/>
    <w:r w:rsidR="007E3312">
      <w:rPr>
        <w:sz w:val="20"/>
      </w:rPr>
      <w:t xml:space="preserve">     Osvětlení </w:t>
    </w:r>
    <w:r w:rsidR="00E355E6">
      <w:rPr>
        <w:sz w:val="20"/>
      </w:rPr>
      <w:t>revitalizovaného parku V Zápolí</w:t>
    </w:r>
  </w:p>
  <w:p w14:paraId="6C629B58" w14:textId="6455A656" w:rsidR="00F420A0" w:rsidRDefault="00F420A0" w:rsidP="00F420A0">
    <w:pPr>
      <w:spacing w:before="0" w:line="240" w:lineRule="auto"/>
      <w:rPr>
        <w:sz w:val="20"/>
      </w:rPr>
    </w:pPr>
  </w:p>
  <w:p w14:paraId="1DEE6EEA" w14:textId="39C70C46" w:rsidR="00F420A0" w:rsidRPr="00F420A0" w:rsidRDefault="00B63024" w:rsidP="00F420A0">
    <w:pPr>
      <w:spacing w:before="0" w:line="240" w:lineRule="auto"/>
      <w:rPr>
        <w:sz w:val="20"/>
      </w:rPr>
    </w:pPr>
    <w:r>
      <w:rPr>
        <w:sz w:val="20"/>
      </w:rPr>
      <w:tab/>
    </w:r>
    <w:r>
      <w:rPr>
        <w:sz w:val="20"/>
      </w:rPr>
      <w:tab/>
    </w:r>
    <w:r w:rsidR="00E355E6">
      <w:rPr>
        <w:sz w:val="20"/>
      </w:rPr>
      <w:t>Praha 4 - Michle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15D8"/>
    <w:multiLevelType w:val="singleLevel"/>
    <w:tmpl w:val="19BCB0A8"/>
    <w:lvl w:ilvl="0"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</w:rPr>
    </w:lvl>
  </w:abstractNum>
  <w:abstractNum w:abstractNumId="1" w15:restartNumberingAfterBreak="0">
    <w:nsid w:val="0C776B2A"/>
    <w:multiLevelType w:val="singleLevel"/>
    <w:tmpl w:val="9A6EF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2" w15:restartNumberingAfterBreak="0">
    <w:nsid w:val="385B2D40"/>
    <w:multiLevelType w:val="hybridMultilevel"/>
    <w:tmpl w:val="65280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16980"/>
    <w:multiLevelType w:val="singleLevel"/>
    <w:tmpl w:val="2800FF4A"/>
    <w:lvl w:ilvl="0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4" w15:restartNumberingAfterBreak="0">
    <w:nsid w:val="3BF97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D9D64B5"/>
    <w:multiLevelType w:val="singleLevel"/>
    <w:tmpl w:val="71C6188E"/>
    <w:lvl w:ilvl="0">
      <w:start w:val="1"/>
      <w:numFmt w:val="decimal"/>
      <w:pStyle w:val="Nadpis2"/>
      <w:lvlText w:val="%1."/>
      <w:lvlJc w:val="left"/>
      <w:pPr>
        <w:tabs>
          <w:tab w:val="num" w:pos="7731"/>
        </w:tabs>
        <w:ind w:left="7711" w:hanging="340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6" w15:restartNumberingAfterBreak="0">
    <w:nsid w:val="428F1B64"/>
    <w:multiLevelType w:val="hybridMultilevel"/>
    <w:tmpl w:val="FFDC4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D5200"/>
    <w:multiLevelType w:val="singleLevel"/>
    <w:tmpl w:val="71A2B484"/>
    <w:lvl w:ilvl="0">
      <w:start w:val="1"/>
      <w:numFmt w:val="decimal"/>
      <w:pStyle w:val="cislovani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8" w15:restartNumberingAfterBreak="0">
    <w:nsid w:val="433347C7"/>
    <w:multiLevelType w:val="multilevel"/>
    <w:tmpl w:val="E662C4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2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8B75EAF"/>
    <w:multiLevelType w:val="hybridMultilevel"/>
    <w:tmpl w:val="35B0ED2E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 w15:restartNumberingAfterBreak="0">
    <w:nsid w:val="59BF32C8"/>
    <w:multiLevelType w:val="multilevel"/>
    <w:tmpl w:val="A204173C"/>
    <w:lvl w:ilvl="0">
      <w:start w:val="1"/>
      <w:numFmt w:val="decimal"/>
      <w:pStyle w:val="nadpistlust12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Nadpistlust"/>
      <w:suff w:val="space"/>
      <w:lvlText w:val="%1.%2."/>
      <w:lvlJc w:val="left"/>
      <w:pPr>
        <w:ind w:left="792" w:hanging="792"/>
      </w:pPr>
    </w:lvl>
    <w:lvl w:ilvl="2">
      <w:start w:val="1"/>
      <w:numFmt w:val="decimal"/>
      <w:pStyle w:val="nadpkurzva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A314B33"/>
    <w:multiLevelType w:val="singleLevel"/>
    <w:tmpl w:val="80F01D48"/>
    <w:lvl w:ilvl="0">
      <w:start w:val="1"/>
      <w:numFmt w:val="bullet"/>
      <w:pStyle w:val="Odrazky"/>
      <w:lvlText w:val="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12" w15:restartNumberingAfterBreak="0">
    <w:nsid w:val="602E0A2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984548324">
    <w:abstractNumId w:val="7"/>
  </w:num>
  <w:num w:numId="2" w16cid:durableId="282152659">
    <w:abstractNumId w:val="1"/>
  </w:num>
  <w:num w:numId="3" w16cid:durableId="1949502805">
    <w:abstractNumId w:val="8"/>
  </w:num>
  <w:num w:numId="4" w16cid:durableId="1495532331">
    <w:abstractNumId w:val="5"/>
  </w:num>
  <w:num w:numId="5" w16cid:durableId="157111368">
    <w:abstractNumId w:val="12"/>
  </w:num>
  <w:num w:numId="6" w16cid:durableId="306126740">
    <w:abstractNumId w:val="11"/>
  </w:num>
  <w:num w:numId="7" w16cid:durableId="195125106">
    <w:abstractNumId w:val="0"/>
  </w:num>
  <w:num w:numId="8" w16cid:durableId="522210055">
    <w:abstractNumId w:val="3"/>
  </w:num>
  <w:num w:numId="9" w16cid:durableId="1748115666">
    <w:abstractNumId w:val="4"/>
  </w:num>
  <w:num w:numId="10" w16cid:durableId="1474181461">
    <w:abstractNumId w:val="5"/>
  </w:num>
  <w:num w:numId="11" w16cid:durableId="1635451583">
    <w:abstractNumId w:val="10"/>
  </w:num>
  <w:num w:numId="12" w16cid:durableId="1100949136">
    <w:abstractNumId w:val="10"/>
  </w:num>
  <w:num w:numId="13" w16cid:durableId="2141651123">
    <w:abstractNumId w:val="10"/>
  </w:num>
  <w:num w:numId="14" w16cid:durableId="2044936159">
    <w:abstractNumId w:val="10"/>
  </w:num>
  <w:num w:numId="15" w16cid:durableId="803737521">
    <w:abstractNumId w:val="10"/>
  </w:num>
  <w:num w:numId="16" w16cid:durableId="36517592">
    <w:abstractNumId w:val="10"/>
  </w:num>
  <w:num w:numId="17" w16cid:durableId="1993751589">
    <w:abstractNumId w:val="10"/>
  </w:num>
  <w:num w:numId="18" w16cid:durableId="1834107246">
    <w:abstractNumId w:val="10"/>
  </w:num>
  <w:num w:numId="19" w16cid:durableId="1748574667">
    <w:abstractNumId w:val="10"/>
  </w:num>
  <w:num w:numId="20" w16cid:durableId="667057909">
    <w:abstractNumId w:val="10"/>
  </w:num>
  <w:num w:numId="21" w16cid:durableId="135146295">
    <w:abstractNumId w:val="10"/>
  </w:num>
  <w:num w:numId="22" w16cid:durableId="2005741608">
    <w:abstractNumId w:val="10"/>
  </w:num>
  <w:num w:numId="23" w16cid:durableId="210383501">
    <w:abstractNumId w:val="10"/>
  </w:num>
  <w:num w:numId="24" w16cid:durableId="1072123855">
    <w:abstractNumId w:val="10"/>
  </w:num>
  <w:num w:numId="25" w16cid:durableId="1007174043">
    <w:abstractNumId w:val="10"/>
  </w:num>
  <w:num w:numId="26" w16cid:durableId="1227372393">
    <w:abstractNumId w:val="5"/>
  </w:num>
  <w:num w:numId="27" w16cid:durableId="973802072">
    <w:abstractNumId w:val="5"/>
  </w:num>
  <w:num w:numId="28" w16cid:durableId="1341350346">
    <w:abstractNumId w:val="5"/>
  </w:num>
  <w:num w:numId="29" w16cid:durableId="1797478807">
    <w:abstractNumId w:val="5"/>
  </w:num>
  <w:num w:numId="30" w16cid:durableId="1639383980">
    <w:abstractNumId w:val="5"/>
  </w:num>
  <w:num w:numId="31" w16cid:durableId="927739418">
    <w:abstractNumId w:val="5"/>
  </w:num>
  <w:num w:numId="32" w16cid:durableId="470175663">
    <w:abstractNumId w:val="5"/>
  </w:num>
  <w:num w:numId="33" w16cid:durableId="1395663134">
    <w:abstractNumId w:val="2"/>
  </w:num>
  <w:num w:numId="34" w16cid:durableId="821115626">
    <w:abstractNumId w:val="6"/>
  </w:num>
  <w:num w:numId="35" w16cid:durableId="1771268578">
    <w:abstractNumId w:val="9"/>
  </w:num>
  <w:num w:numId="36" w16cid:durableId="193523644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3E"/>
    <w:rsid w:val="00001ED9"/>
    <w:rsid w:val="00004372"/>
    <w:rsid w:val="00004C07"/>
    <w:rsid w:val="000100EC"/>
    <w:rsid w:val="00012909"/>
    <w:rsid w:val="0002140B"/>
    <w:rsid w:val="0002537A"/>
    <w:rsid w:val="00030287"/>
    <w:rsid w:val="00034427"/>
    <w:rsid w:val="00037C61"/>
    <w:rsid w:val="00037F9B"/>
    <w:rsid w:val="00042E67"/>
    <w:rsid w:val="00044643"/>
    <w:rsid w:val="00052780"/>
    <w:rsid w:val="0008073E"/>
    <w:rsid w:val="000821FB"/>
    <w:rsid w:val="00093612"/>
    <w:rsid w:val="000B3D5B"/>
    <w:rsid w:val="000C765B"/>
    <w:rsid w:val="000D3956"/>
    <w:rsid w:val="000D6E71"/>
    <w:rsid w:val="000D7289"/>
    <w:rsid w:val="000E244F"/>
    <w:rsid w:val="000F68F9"/>
    <w:rsid w:val="001126F2"/>
    <w:rsid w:val="00112A71"/>
    <w:rsid w:val="00117557"/>
    <w:rsid w:val="0012304C"/>
    <w:rsid w:val="001234B6"/>
    <w:rsid w:val="001275CC"/>
    <w:rsid w:val="00135F47"/>
    <w:rsid w:val="00151A01"/>
    <w:rsid w:val="00160857"/>
    <w:rsid w:val="001623F8"/>
    <w:rsid w:val="00163B4E"/>
    <w:rsid w:val="00174621"/>
    <w:rsid w:val="001805DC"/>
    <w:rsid w:val="00191906"/>
    <w:rsid w:val="0019463B"/>
    <w:rsid w:val="00195DEE"/>
    <w:rsid w:val="00195E9E"/>
    <w:rsid w:val="001A164F"/>
    <w:rsid w:val="001A3F78"/>
    <w:rsid w:val="001B36F8"/>
    <w:rsid w:val="001B4507"/>
    <w:rsid w:val="001B6671"/>
    <w:rsid w:val="001B7B9B"/>
    <w:rsid w:val="001C2B6F"/>
    <w:rsid w:val="001C2EB0"/>
    <w:rsid w:val="001C387A"/>
    <w:rsid w:val="001C4B5E"/>
    <w:rsid w:val="001C4EFD"/>
    <w:rsid w:val="001C720B"/>
    <w:rsid w:val="001D0B7F"/>
    <w:rsid w:val="001D3738"/>
    <w:rsid w:val="001E2590"/>
    <w:rsid w:val="001E7FA6"/>
    <w:rsid w:val="001F01B0"/>
    <w:rsid w:val="001F3E34"/>
    <w:rsid w:val="001F4F3E"/>
    <w:rsid w:val="002013E9"/>
    <w:rsid w:val="00223636"/>
    <w:rsid w:val="0022709A"/>
    <w:rsid w:val="00236063"/>
    <w:rsid w:val="0024454C"/>
    <w:rsid w:val="0024546F"/>
    <w:rsid w:val="00253549"/>
    <w:rsid w:val="0025618F"/>
    <w:rsid w:val="00260F9E"/>
    <w:rsid w:val="00264E38"/>
    <w:rsid w:val="00270101"/>
    <w:rsid w:val="00271FFD"/>
    <w:rsid w:val="00276CEF"/>
    <w:rsid w:val="00290DE0"/>
    <w:rsid w:val="002A3634"/>
    <w:rsid w:val="002C2B90"/>
    <w:rsid w:val="002C6960"/>
    <w:rsid w:val="002D032B"/>
    <w:rsid w:val="002D2B7F"/>
    <w:rsid w:val="002D6ACE"/>
    <w:rsid w:val="002E01C4"/>
    <w:rsid w:val="002E5298"/>
    <w:rsid w:val="002F2C9B"/>
    <w:rsid w:val="002F514E"/>
    <w:rsid w:val="002F708F"/>
    <w:rsid w:val="0030012B"/>
    <w:rsid w:val="003318BE"/>
    <w:rsid w:val="003342AA"/>
    <w:rsid w:val="00337283"/>
    <w:rsid w:val="00340AAB"/>
    <w:rsid w:val="0035404F"/>
    <w:rsid w:val="00355C43"/>
    <w:rsid w:val="00357680"/>
    <w:rsid w:val="00371CFB"/>
    <w:rsid w:val="0037205A"/>
    <w:rsid w:val="003770D5"/>
    <w:rsid w:val="003910F3"/>
    <w:rsid w:val="00392CC0"/>
    <w:rsid w:val="00393FE4"/>
    <w:rsid w:val="003A1C06"/>
    <w:rsid w:val="003A6574"/>
    <w:rsid w:val="003B1C9B"/>
    <w:rsid w:val="003C4D4E"/>
    <w:rsid w:val="003D1448"/>
    <w:rsid w:val="003D1F25"/>
    <w:rsid w:val="003D74A9"/>
    <w:rsid w:val="003E3437"/>
    <w:rsid w:val="003E6111"/>
    <w:rsid w:val="003E74B7"/>
    <w:rsid w:val="003F55C6"/>
    <w:rsid w:val="004040E1"/>
    <w:rsid w:val="0041220A"/>
    <w:rsid w:val="004153E9"/>
    <w:rsid w:val="00421BCF"/>
    <w:rsid w:val="00422EFD"/>
    <w:rsid w:val="00432398"/>
    <w:rsid w:val="0043640F"/>
    <w:rsid w:val="00441A67"/>
    <w:rsid w:val="004519CD"/>
    <w:rsid w:val="00455ABE"/>
    <w:rsid w:val="00456BB4"/>
    <w:rsid w:val="0047449F"/>
    <w:rsid w:val="00475F20"/>
    <w:rsid w:val="00487736"/>
    <w:rsid w:val="00491626"/>
    <w:rsid w:val="00492A60"/>
    <w:rsid w:val="004A0A2C"/>
    <w:rsid w:val="004A6751"/>
    <w:rsid w:val="004B5A1F"/>
    <w:rsid w:val="004C5152"/>
    <w:rsid w:val="004C52D8"/>
    <w:rsid w:val="004D4022"/>
    <w:rsid w:val="004D65DB"/>
    <w:rsid w:val="004D6954"/>
    <w:rsid w:val="004E1413"/>
    <w:rsid w:val="004E5A63"/>
    <w:rsid w:val="004E6496"/>
    <w:rsid w:val="004F0FAD"/>
    <w:rsid w:val="004F1E4B"/>
    <w:rsid w:val="00512849"/>
    <w:rsid w:val="00523213"/>
    <w:rsid w:val="00523C67"/>
    <w:rsid w:val="0052558D"/>
    <w:rsid w:val="00535E49"/>
    <w:rsid w:val="00540E0A"/>
    <w:rsid w:val="00544EC9"/>
    <w:rsid w:val="005465DA"/>
    <w:rsid w:val="00547FF4"/>
    <w:rsid w:val="005569F2"/>
    <w:rsid w:val="0056097E"/>
    <w:rsid w:val="00561624"/>
    <w:rsid w:val="00564ED7"/>
    <w:rsid w:val="00566C48"/>
    <w:rsid w:val="00573096"/>
    <w:rsid w:val="00573EE3"/>
    <w:rsid w:val="00577AF8"/>
    <w:rsid w:val="0058153C"/>
    <w:rsid w:val="0058558A"/>
    <w:rsid w:val="00590418"/>
    <w:rsid w:val="005930A9"/>
    <w:rsid w:val="0059380F"/>
    <w:rsid w:val="005957AB"/>
    <w:rsid w:val="00595AF4"/>
    <w:rsid w:val="00596790"/>
    <w:rsid w:val="005A3C11"/>
    <w:rsid w:val="005B2C75"/>
    <w:rsid w:val="005B3352"/>
    <w:rsid w:val="005B56D1"/>
    <w:rsid w:val="005D5A42"/>
    <w:rsid w:val="005E22CD"/>
    <w:rsid w:val="005E3366"/>
    <w:rsid w:val="005E6B47"/>
    <w:rsid w:val="005E78B5"/>
    <w:rsid w:val="005F24B9"/>
    <w:rsid w:val="00600C73"/>
    <w:rsid w:val="00603E17"/>
    <w:rsid w:val="0061084A"/>
    <w:rsid w:val="006317B3"/>
    <w:rsid w:val="00632299"/>
    <w:rsid w:val="006323C9"/>
    <w:rsid w:val="006377BA"/>
    <w:rsid w:val="006439FC"/>
    <w:rsid w:val="00647E8C"/>
    <w:rsid w:val="00652A16"/>
    <w:rsid w:val="00653B6D"/>
    <w:rsid w:val="0065505C"/>
    <w:rsid w:val="00656C60"/>
    <w:rsid w:val="00657DE2"/>
    <w:rsid w:val="00667FAF"/>
    <w:rsid w:val="00671105"/>
    <w:rsid w:val="00674025"/>
    <w:rsid w:val="00675095"/>
    <w:rsid w:val="00676BA4"/>
    <w:rsid w:val="006840D8"/>
    <w:rsid w:val="00691558"/>
    <w:rsid w:val="00691760"/>
    <w:rsid w:val="006944FA"/>
    <w:rsid w:val="006A67BE"/>
    <w:rsid w:val="006A7D88"/>
    <w:rsid w:val="006B2323"/>
    <w:rsid w:val="006C3735"/>
    <w:rsid w:val="006D2E81"/>
    <w:rsid w:val="006D71EC"/>
    <w:rsid w:val="006D7480"/>
    <w:rsid w:val="006E66DD"/>
    <w:rsid w:val="006E7E88"/>
    <w:rsid w:val="006E7FED"/>
    <w:rsid w:val="006F6318"/>
    <w:rsid w:val="006F63E1"/>
    <w:rsid w:val="00704D9B"/>
    <w:rsid w:val="00717A7E"/>
    <w:rsid w:val="00720716"/>
    <w:rsid w:val="007247FF"/>
    <w:rsid w:val="00732288"/>
    <w:rsid w:val="00743CB0"/>
    <w:rsid w:val="0074507E"/>
    <w:rsid w:val="00745B4D"/>
    <w:rsid w:val="007521FB"/>
    <w:rsid w:val="00755702"/>
    <w:rsid w:val="00765A63"/>
    <w:rsid w:val="0078000A"/>
    <w:rsid w:val="007852C9"/>
    <w:rsid w:val="00787C7B"/>
    <w:rsid w:val="007944AD"/>
    <w:rsid w:val="00795597"/>
    <w:rsid w:val="007B7990"/>
    <w:rsid w:val="007C0B7C"/>
    <w:rsid w:val="007C349E"/>
    <w:rsid w:val="007C3972"/>
    <w:rsid w:val="007D3CFF"/>
    <w:rsid w:val="007D5B0E"/>
    <w:rsid w:val="007D6FCE"/>
    <w:rsid w:val="007E3312"/>
    <w:rsid w:val="007E3BEF"/>
    <w:rsid w:val="007E72CB"/>
    <w:rsid w:val="00814F31"/>
    <w:rsid w:val="0082167D"/>
    <w:rsid w:val="008274C0"/>
    <w:rsid w:val="0082783B"/>
    <w:rsid w:val="00830BB1"/>
    <w:rsid w:val="00834642"/>
    <w:rsid w:val="00841F4B"/>
    <w:rsid w:val="00844BDD"/>
    <w:rsid w:val="00845FA5"/>
    <w:rsid w:val="00847E0C"/>
    <w:rsid w:val="00855FA6"/>
    <w:rsid w:val="00864418"/>
    <w:rsid w:val="00867EA5"/>
    <w:rsid w:val="0087429C"/>
    <w:rsid w:val="0087748B"/>
    <w:rsid w:val="008855B6"/>
    <w:rsid w:val="00890DF9"/>
    <w:rsid w:val="00891FF2"/>
    <w:rsid w:val="00892422"/>
    <w:rsid w:val="008965E5"/>
    <w:rsid w:val="008B49E0"/>
    <w:rsid w:val="008D0805"/>
    <w:rsid w:val="008D5742"/>
    <w:rsid w:val="008D76A4"/>
    <w:rsid w:val="008D7A9B"/>
    <w:rsid w:val="008E47E1"/>
    <w:rsid w:val="008F20F0"/>
    <w:rsid w:val="0090076F"/>
    <w:rsid w:val="009065B3"/>
    <w:rsid w:val="00913F27"/>
    <w:rsid w:val="009201B7"/>
    <w:rsid w:val="009318F9"/>
    <w:rsid w:val="00932612"/>
    <w:rsid w:val="00934912"/>
    <w:rsid w:val="00935D6D"/>
    <w:rsid w:val="0094000B"/>
    <w:rsid w:val="009454B1"/>
    <w:rsid w:val="00956551"/>
    <w:rsid w:val="0096507F"/>
    <w:rsid w:val="009656A4"/>
    <w:rsid w:val="009916CE"/>
    <w:rsid w:val="0099442F"/>
    <w:rsid w:val="009A467C"/>
    <w:rsid w:val="009B7122"/>
    <w:rsid w:val="009C2D50"/>
    <w:rsid w:val="009C3C3F"/>
    <w:rsid w:val="009D0712"/>
    <w:rsid w:val="009E176C"/>
    <w:rsid w:val="009F621C"/>
    <w:rsid w:val="00A01352"/>
    <w:rsid w:val="00A12704"/>
    <w:rsid w:val="00A163D2"/>
    <w:rsid w:val="00A235B2"/>
    <w:rsid w:val="00A2400E"/>
    <w:rsid w:val="00A26BAD"/>
    <w:rsid w:val="00A601B9"/>
    <w:rsid w:val="00A6115B"/>
    <w:rsid w:val="00A6347F"/>
    <w:rsid w:val="00A6406C"/>
    <w:rsid w:val="00A667AD"/>
    <w:rsid w:val="00A71347"/>
    <w:rsid w:val="00A7282F"/>
    <w:rsid w:val="00A94DE3"/>
    <w:rsid w:val="00AC271C"/>
    <w:rsid w:val="00AC32C9"/>
    <w:rsid w:val="00AC6553"/>
    <w:rsid w:val="00AD2F4A"/>
    <w:rsid w:val="00AE3BC5"/>
    <w:rsid w:val="00AF190E"/>
    <w:rsid w:val="00AF58E6"/>
    <w:rsid w:val="00AF6D59"/>
    <w:rsid w:val="00B029EB"/>
    <w:rsid w:val="00B044F3"/>
    <w:rsid w:val="00B06A70"/>
    <w:rsid w:val="00B06D14"/>
    <w:rsid w:val="00B0785F"/>
    <w:rsid w:val="00B07D6F"/>
    <w:rsid w:val="00B13085"/>
    <w:rsid w:val="00B16C05"/>
    <w:rsid w:val="00B31D90"/>
    <w:rsid w:val="00B337D5"/>
    <w:rsid w:val="00B51EDF"/>
    <w:rsid w:val="00B54DEA"/>
    <w:rsid w:val="00B61A0B"/>
    <w:rsid w:val="00B6216B"/>
    <w:rsid w:val="00B63024"/>
    <w:rsid w:val="00B65CEF"/>
    <w:rsid w:val="00B76534"/>
    <w:rsid w:val="00B8159C"/>
    <w:rsid w:val="00B825E8"/>
    <w:rsid w:val="00B910F4"/>
    <w:rsid w:val="00B92A0A"/>
    <w:rsid w:val="00B92F76"/>
    <w:rsid w:val="00B9679B"/>
    <w:rsid w:val="00BA318C"/>
    <w:rsid w:val="00BA3BF6"/>
    <w:rsid w:val="00BA4F01"/>
    <w:rsid w:val="00BC0A8D"/>
    <w:rsid w:val="00BC1A14"/>
    <w:rsid w:val="00BD27AC"/>
    <w:rsid w:val="00BD646A"/>
    <w:rsid w:val="00BD7D28"/>
    <w:rsid w:val="00BE291B"/>
    <w:rsid w:val="00BE757D"/>
    <w:rsid w:val="00BE789D"/>
    <w:rsid w:val="00BF3101"/>
    <w:rsid w:val="00C013BE"/>
    <w:rsid w:val="00C05094"/>
    <w:rsid w:val="00C054F1"/>
    <w:rsid w:val="00C062A3"/>
    <w:rsid w:val="00C158F2"/>
    <w:rsid w:val="00C33AA5"/>
    <w:rsid w:val="00C4435B"/>
    <w:rsid w:val="00C4719B"/>
    <w:rsid w:val="00C474B7"/>
    <w:rsid w:val="00C61EA7"/>
    <w:rsid w:val="00C65A7F"/>
    <w:rsid w:val="00C73226"/>
    <w:rsid w:val="00C83AA1"/>
    <w:rsid w:val="00C85DCB"/>
    <w:rsid w:val="00C93670"/>
    <w:rsid w:val="00CA02BC"/>
    <w:rsid w:val="00CA19B0"/>
    <w:rsid w:val="00CA1A09"/>
    <w:rsid w:val="00CA39C0"/>
    <w:rsid w:val="00CC0C1B"/>
    <w:rsid w:val="00CC0F8F"/>
    <w:rsid w:val="00CD4DA1"/>
    <w:rsid w:val="00CD791A"/>
    <w:rsid w:val="00D02C24"/>
    <w:rsid w:val="00D123B1"/>
    <w:rsid w:val="00D16620"/>
    <w:rsid w:val="00D21089"/>
    <w:rsid w:val="00D225CA"/>
    <w:rsid w:val="00D26196"/>
    <w:rsid w:val="00D27A74"/>
    <w:rsid w:val="00D33D92"/>
    <w:rsid w:val="00D34E79"/>
    <w:rsid w:val="00D535DA"/>
    <w:rsid w:val="00D600A2"/>
    <w:rsid w:val="00D6672A"/>
    <w:rsid w:val="00D76716"/>
    <w:rsid w:val="00D77FBD"/>
    <w:rsid w:val="00D856E1"/>
    <w:rsid w:val="00DA3EA0"/>
    <w:rsid w:val="00DA5929"/>
    <w:rsid w:val="00DB10D3"/>
    <w:rsid w:val="00DB3425"/>
    <w:rsid w:val="00DB37E1"/>
    <w:rsid w:val="00DB490E"/>
    <w:rsid w:val="00DB6F82"/>
    <w:rsid w:val="00DC3D19"/>
    <w:rsid w:val="00DC72A0"/>
    <w:rsid w:val="00DD0B6C"/>
    <w:rsid w:val="00DD59EF"/>
    <w:rsid w:val="00DE0869"/>
    <w:rsid w:val="00DE2307"/>
    <w:rsid w:val="00DE35A5"/>
    <w:rsid w:val="00DF3F50"/>
    <w:rsid w:val="00DF586E"/>
    <w:rsid w:val="00DF5C83"/>
    <w:rsid w:val="00DF70CD"/>
    <w:rsid w:val="00E033D1"/>
    <w:rsid w:val="00E03A38"/>
    <w:rsid w:val="00E03AC7"/>
    <w:rsid w:val="00E12DEE"/>
    <w:rsid w:val="00E22BCE"/>
    <w:rsid w:val="00E23B09"/>
    <w:rsid w:val="00E355E6"/>
    <w:rsid w:val="00E404E1"/>
    <w:rsid w:val="00E55866"/>
    <w:rsid w:val="00E56542"/>
    <w:rsid w:val="00E5762C"/>
    <w:rsid w:val="00E6170E"/>
    <w:rsid w:val="00E61830"/>
    <w:rsid w:val="00E66267"/>
    <w:rsid w:val="00E717DA"/>
    <w:rsid w:val="00E73240"/>
    <w:rsid w:val="00E82140"/>
    <w:rsid w:val="00E82D2C"/>
    <w:rsid w:val="00E83A89"/>
    <w:rsid w:val="00E852CC"/>
    <w:rsid w:val="00E926C4"/>
    <w:rsid w:val="00E952B9"/>
    <w:rsid w:val="00EB3682"/>
    <w:rsid w:val="00EB74CB"/>
    <w:rsid w:val="00EC3C52"/>
    <w:rsid w:val="00EC6F30"/>
    <w:rsid w:val="00EC7324"/>
    <w:rsid w:val="00EE1468"/>
    <w:rsid w:val="00EE4E24"/>
    <w:rsid w:val="00EF20DB"/>
    <w:rsid w:val="00F04DE1"/>
    <w:rsid w:val="00F054F7"/>
    <w:rsid w:val="00F14DD6"/>
    <w:rsid w:val="00F2264B"/>
    <w:rsid w:val="00F26388"/>
    <w:rsid w:val="00F32233"/>
    <w:rsid w:val="00F40AA8"/>
    <w:rsid w:val="00F420A0"/>
    <w:rsid w:val="00F4332D"/>
    <w:rsid w:val="00F467AD"/>
    <w:rsid w:val="00F548D2"/>
    <w:rsid w:val="00F56259"/>
    <w:rsid w:val="00F62E71"/>
    <w:rsid w:val="00F72D2D"/>
    <w:rsid w:val="00F93F9E"/>
    <w:rsid w:val="00F94A03"/>
    <w:rsid w:val="00FA5AA9"/>
    <w:rsid w:val="00FB2F72"/>
    <w:rsid w:val="00FB715B"/>
    <w:rsid w:val="00FC2FD8"/>
    <w:rsid w:val="00FC71D6"/>
    <w:rsid w:val="00FD2862"/>
    <w:rsid w:val="00FE02AA"/>
    <w:rsid w:val="00FE02FE"/>
    <w:rsid w:val="00FE63D4"/>
    <w:rsid w:val="00FF1FCB"/>
    <w:rsid w:val="00FF28E5"/>
    <w:rsid w:val="00FF3D09"/>
    <w:rsid w:val="00FF6052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5F9F1C03"/>
  <w15:docId w15:val="{AE7422D4-D5B3-43F5-998E-D5D98E25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719B"/>
    <w:pPr>
      <w:spacing w:before="120" w:line="288" w:lineRule="auto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93670"/>
    <w:pPr>
      <w:keepNext/>
      <w:spacing w:before="240" w:after="60"/>
      <w:jc w:val="center"/>
      <w:outlineLvl w:val="0"/>
    </w:pPr>
    <w:rPr>
      <w:kern w:val="28"/>
      <w:sz w:val="36"/>
    </w:rPr>
  </w:style>
  <w:style w:type="paragraph" w:styleId="Nadpis2">
    <w:name w:val="heading 2"/>
    <w:basedOn w:val="Normln"/>
    <w:next w:val="Normln"/>
    <w:qFormat/>
    <w:rsid w:val="00C93670"/>
    <w:pPr>
      <w:keepNext/>
      <w:numPr>
        <w:numId w:val="4"/>
      </w:numPr>
      <w:spacing w:before="240" w:after="60"/>
      <w:outlineLvl w:val="1"/>
    </w:pPr>
    <w:rPr>
      <w:b/>
      <w:u w:val="single"/>
    </w:rPr>
  </w:style>
  <w:style w:type="paragraph" w:styleId="Nadpis3">
    <w:name w:val="heading 3"/>
    <w:basedOn w:val="Nadpis2"/>
    <w:next w:val="Normln"/>
    <w:qFormat/>
    <w:rsid w:val="00C93670"/>
    <w:pPr>
      <w:numPr>
        <w:numId w:val="0"/>
      </w:numPr>
      <w:outlineLvl w:val="2"/>
    </w:pPr>
    <w:rPr>
      <w:b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islovani">
    <w:name w:val="cislovani"/>
    <w:basedOn w:val="Normln"/>
    <w:rsid w:val="00C93670"/>
    <w:pPr>
      <w:numPr>
        <w:numId w:val="1"/>
      </w:numPr>
      <w:ind w:left="964" w:hanging="397"/>
    </w:pPr>
  </w:style>
  <w:style w:type="paragraph" w:styleId="Zkladntextodsazen">
    <w:name w:val="Body Text Indent"/>
    <w:basedOn w:val="Normln"/>
    <w:rsid w:val="00C93670"/>
    <w:pPr>
      <w:tabs>
        <w:tab w:val="left" w:pos="567"/>
      </w:tabs>
      <w:ind w:left="2835" w:hanging="2835"/>
    </w:pPr>
  </w:style>
  <w:style w:type="paragraph" w:customStyle="1" w:styleId="Odrazky">
    <w:name w:val="Odrazky"/>
    <w:basedOn w:val="Normln"/>
    <w:rsid w:val="00C93670"/>
    <w:pPr>
      <w:numPr>
        <w:numId w:val="6"/>
      </w:numPr>
    </w:pPr>
  </w:style>
  <w:style w:type="paragraph" w:customStyle="1" w:styleId="Zkladntext">
    <w:name w:val="_Základní text"/>
    <w:basedOn w:val="Normln"/>
    <w:link w:val="ZkladntextChar"/>
    <w:rsid w:val="00C93670"/>
    <w:pPr>
      <w:ind w:firstLine="284"/>
    </w:pPr>
    <w:rPr>
      <w:rFonts w:ascii="Times New Roman" w:hAnsi="Times New Roman"/>
    </w:rPr>
  </w:style>
  <w:style w:type="paragraph" w:customStyle="1" w:styleId="podpis">
    <w:name w:val="_podpis"/>
    <w:basedOn w:val="Zkladntext"/>
    <w:next w:val="Zkladntext"/>
    <w:rsid w:val="00C93670"/>
    <w:pPr>
      <w:ind w:left="6804" w:hanging="1134"/>
      <w:jc w:val="left"/>
    </w:pPr>
  </w:style>
  <w:style w:type="paragraph" w:customStyle="1" w:styleId="zkladntext11">
    <w:name w:val="_základní text (11)"/>
    <w:basedOn w:val="Normln"/>
    <w:rsid w:val="00C93670"/>
    <w:pPr>
      <w:ind w:firstLine="284"/>
      <w:jc w:val="left"/>
    </w:pPr>
    <w:rPr>
      <w:rFonts w:ascii="Times New Roman" w:hAnsi="Times New Roman"/>
    </w:rPr>
  </w:style>
  <w:style w:type="paragraph" w:styleId="Zkladntextodsazen2">
    <w:name w:val="Body Text Indent 2"/>
    <w:basedOn w:val="Normln"/>
    <w:rsid w:val="00C93670"/>
    <w:pPr>
      <w:ind w:firstLine="1"/>
      <w:jc w:val="center"/>
    </w:pPr>
    <w:rPr>
      <w:i/>
    </w:rPr>
  </w:style>
  <w:style w:type="paragraph" w:customStyle="1" w:styleId="Text12">
    <w:name w:val="Text 12"/>
    <w:basedOn w:val="Normln"/>
    <w:rsid w:val="00C93670"/>
    <w:pPr>
      <w:ind w:firstLine="567"/>
    </w:pPr>
    <w:rPr>
      <w:sz w:val="24"/>
    </w:rPr>
  </w:style>
  <w:style w:type="paragraph" w:styleId="Zkladntextodsazen3">
    <w:name w:val="Body Text Indent 3"/>
    <w:basedOn w:val="Normln"/>
    <w:rsid w:val="00C93670"/>
    <w:pPr>
      <w:ind w:firstLine="1"/>
    </w:pPr>
    <w:rPr>
      <w:bCs/>
    </w:rPr>
  </w:style>
  <w:style w:type="paragraph" w:styleId="Textbubliny">
    <w:name w:val="Balloon Text"/>
    <w:basedOn w:val="Normln"/>
    <w:semiHidden/>
    <w:rsid w:val="00DF5C83"/>
    <w:rPr>
      <w:rFonts w:ascii="Tahoma" w:hAnsi="Tahoma" w:cs="Tahoma"/>
      <w:sz w:val="16"/>
      <w:szCs w:val="16"/>
    </w:rPr>
  </w:style>
  <w:style w:type="paragraph" w:customStyle="1" w:styleId="Nadpistlust">
    <w:name w:val="_Nadpis tlustý"/>
    <w:basedOn w:val="Zkladntext"/>
    <w:next w:val="Zkladntext"/>
    <w:rsid w:val="007C349E"/>
    <w:pPr>
      <w:numPr>
        <w:ilvl w:val="1"/>
        <w:numId w:val="11"/>
      </w:numPr>
      <w:spacing w:after="120"/>
    </w:pPr>
    <w:rPr>
      <w:b/>
      <w:bCs/>
      <w:szCs w:val="22"/>
    </w:rPr>
  </w:style>
  <w:style w:type="paragraph" w:customStyle="1" w:styleId="nadpistlust12">
    <w:name w:val="_nadpis tlustý 12"/>
    <w:basedOn w:val="Nadpistlust"/>
    <w:next w:val="Zkladntext"/>
    <w:rsid w:val="007C349E"/>
    <w:pPr>
      <w:numPr>
        <w:ilvl w:val="0"/>
      </w:numPr>
    </w:pPr>
    <w:rPr>
      <w:caps/>
      <w:sz w:val="24"/>
      <w:szCs w:val="24"/>
    </w:rPr>
  </w:style>
  <w:style w:type="paragraph" w:customStyle="1" w:styleId="nadpkurzva">
    <w:name w:val="_nadp. kurzíva"/>
    <w:basedOn w:val="Zkladntext"/>
    <w:next w:val="Zkladntext"/>
    <w:rsid w:val="007C349E"/>
    <w:pPr>
      <w:numPr>
        <w:ilvl w:val="2"/>
        <w:numId w:val="11"/>
      </w:numPr>
    </w:pPr>
    <w:rPr>
      <w:i/>
      <w:iCs/>
      <w:szCs w:val="22"/>
      <w:u w:val="single"/>
    </w:rPr>
  </w:style>
  <w:style w:type="paragraph" w:customStyle="1" w:styleId="RaCaNadpis2">
    <w:name w:val="RaCa_Nadpis2"/>
    <w:basedOn w:val="Zkladntext"/>
    <w:next w:val="Zkladntext"/>
    <w:rsid w:val="00FD2862"/>
    <w:pPr>
      <w:spacing w:before="240" w:after="120"/>
      <w:ind w:firstLine="0"/>
    </w:pPr>
    <w:rPr>
      <w:b/>
    </w:rPr>
  </w:style>
  <w:style w:type="paragraph" w:customStyle="1" w:styleId="nadpiskurz11">
    <w:name w:val="_nadpis kurz11"/>
    <w:basedOn w:val="nadpistlust12"/>
    <w:next w:val="Zkladntext"/>
    <w:rsid w:val="00FD2862"/>
    <w:pPr>
      <w:numPr>
        <w:numId w:val="0"/>
      </w:numPr>
      <w:tabs>
        <w:tab w:val="num" w:pos="720"/>
      </w:tabs>
      <w:spacing w:before="0"/>
    </w:pPr>
    <w:rPr>
      <w:b w:val="0"/>
      <w:bCs w:val="0"/>
      <w:i/>
      <w:caps w:val="0"/>
      <w:sz w:val="22"/>
      <w:szCs w:val="20"/>
      <w:u w:val="single"/>
    </w:rPr>
  </w:style>
  <w:style w:type="character" w:customStyle="1" w:styleId="ZkladntextChar">
    <w:name w:val="_Základní text Char"/>
    <w:link w:val="Zkladntext"/>
    <w:rsid w:val="00FD2862"/>
    <w:rPr>
      <w:sz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unhideWhenUsed/>
    <w:rsid w:val="00FA5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A5AA9"/>
    <w:rPr>
      <w:rFonts w:ascii="Arial" w:hAnsi="Arial"/>
      <w:sz w:val="22"/>
    </w:rPr>
  </w:style>
  <w:style w:type="paragraph" w:styleId="Zpat">
    <w:name w:val="footer"/>
    <w:basedOn w:val="Normln"/>
    <w:link w:val="ZpatChar"/>
    <w:uiPriority w:val="99"/>
    <w:unhideWhenUsed/>
    <w:rsid w:val="00FA5A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A5AA9"/>
    <w:rPr>
      <w:rFonts w:ascii="Arial" w:hAnsi="Arial"/>
      <w:sz w:val="22"/>
    </w:rPr>
  </w:style>
  <w:style w:type="paragraph" w:customStyle="1" w:styleId="DDnormalnivcislovani">
    <w:name w:val="DD_normalni v cislovani"/>
    <w:basedOn w:val="Normln"/>
    <w:qFormat/>
    <w:rsid w:val="00B07D6F"/>
    <w:pPr>
      <w:spacing w:before="0" w:after="120"/>
      <w:ind w:left="709" w:hanging="709"/>
      <w:jc w:val="left"/>
    </w:pPr>
    <w:rPr>
      <w:rFonts w:eastAsiaTheme="minorHAnsi" w:cstheme="minorBidi"/>
      <w:w w:val="105"/>
      <w:szCs w:val="22"/>
      <w:lang w:eastAsia="en-US"/>
    </w:rPr>
  </w:style>
  <w:style w:type="paragraph" w:customStyle="1" w:styleId="Odstavce">
    <w:name w:val="Odstavce"/>
    <w:basedOn w:val="Normln"/>
    <w:link w:val="OdstavceChar"/>
    <w:rsid w:val="006F63E1"/>
    <w:pPr>
      <w:spacing w:before="0" w:after="200" w:line="240" w:lineRule="auto"/>
    </w:pPr>
    <w:rPr>
      <w:sz w:val="20"/>
    </w:rPr>
  </w:style>
  <w:style w:type="character" w:customStyle="1" w:styleId="OdstavceChar">
    <w:name w:val="Odstavce Char"/>
    <w:link w:val="Odstavce"/>
    <w:rsid w:val="006F63E1"/>
    <w:rPr>
      <w:rFonts w:ascii="Arial" w:hAnsi="Arial"/>
    </w:rPr>
  </w:style>
  <w:style w:type="paragraph" w:styleId="Zkladntext0">
    <w:name w:val="Body Text"/>
    <w:basedOn w:val="Normln"/>
    <w:link w:val="ZkladntextChar0"/>
    <w:uiPriority w:val="99"/>
    <w:semiHidden/>
    <w:unhideWhenUsed/>
    <w:rsid w:val="00B06A70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uiPriority w:val="99"/>
    <w:semiHidden/>
    <w:rsid w:val="00B06A70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DA3E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5586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586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558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hmp.cz/images/STANDARD_pro_umstn_zazen_na_story_VO_v_Praze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hmp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EC140D83C7BA488C037D90EFE56E26" ma:contentTypeVersion="2" ma:contentTypeDescription="Vytvoří nový dokument" ma:contentTypeScope="" ma:versionID="43e16d8c12ad88f8165f4c7748937e6e">
  <xsd:schema xmlns:xsd="http://www.w3.org/2001/XMLSchema" xmlns:xs="http://www.w3.org/2001/XMLSchema" xmlns:p="http://schemas.microsoft.com/office/2006/metadata/properties" xmlns:ns3="7ff56642-9882-471a-8258-b195006801b5" targetNamespace="http://schemas.microsoft.com/office/2006/metadata/properties" ma:root="true" ma:fieldsID="5ee3c2421b225356713947a046919872" ns3:_="">
    <xsd:import namespace="7ff56642-9882-471a-8258-b195006801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56642-9882-471a-8258-b19500680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037BB-BEA1-480C-AC63-38D820293E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782A89-02D0-4E9E-BB7F-D106246020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F0F942-32D3-444C-803F-67C1D9824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f56642-9882-471a-8258-b195006801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A66184-4824-49EA-9E00-91B5337EB5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1998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:</vt:lpstr>
    </vt:vector>
  </TitlesOfParts>
  <Company>AZ Elektroprojekce</Company>
  <LinksUpToDate>false</LinksUpToDate>
  <CharactersWithSpaces>13763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:</dc:title>
  <dc:subject/>
  <dc:creator>DD</dc:creator>
  <cp:keywords/>
  <dc:description/>
  <cp:lastModifiedBy>Jiří Padevět</cp:lastModifiedBy>
  <cp:revision>2</cp:revision>
  <cp:lastPrinted>2021-09-03T13:23:00Z</cp:lastPrinted>
  <dcterms:created xsi:type="dcterms:W3CDTF">2022-06-05T17:11:00Z</dcterms:created>
  <dcterms:modified xsi:type="dcterms:W3CDTF">2022-06-05T17:11:00Z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0x01010056EC140D83C7BA488C037D90EFE56E26</vt:lpwstr>
  </property>
</Properties>
</file>